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  <w:rPr>
          <w:color w:val="auto"/>
          <w:sz w:val="21"/>
          <w:szCs w:val="21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63FB72B" wp14:editId="1562D659">
            <wp:simplePos x="0" y="0"/>
            <wp:positionH relativeFrom="column">
              <wp:posOffset>2455545</wp:posOffset>
            </wp:positionH>
            <wp:positionV relativeFrom="paragraph">
              <wp:posOffset>87630</wp:posOffset>
            </wp:positionV>
            <wp:extent cx="693420" cy="853440"/>
            <wp:effectExtent l="0" t="0" r="0" b="381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  <w:rPr>
          <w:color w:val="auto"/>
          <w:sz w:val="21"/>
          <w:szCs w:val="21"/>
        </w:rPr>
      </w:pPr>
    </w:p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</w:pPr>
    </w:p>
    <w:p w:rsidR="0070469D" w:rsidRDefault="0070469D" w:rsidP="0070469D">
      <w:pPr>
        <w:pStyle w:val="a3"/>
        <w:spacing w:line="252" w:lineRule="atLeast"/>
        <w:jc w:val="center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  <w:r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  <w:t>ПРОЕКТ</w:t>
      </w:r>
      <w:bookmarkStart w:id="0" w:name="_GoBack"/>
      <w:bookmarkEnd w:id="0"/>
    </w:p>
    <w:p w:rsidR="0070469D" w:rsidRDefault="0070469D" w:rsidP="0070469D">
      <w:pPr>
        <w:pStyle w:val="a3"/>
        <w:spacing w:line="252" w:lineRule="atLeast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</w:p>
    <w:p w:rsidR="0070469D" w:rsidRPr="00395BED" w:rsidRDefault="0070469D" w:rsidP="0070469D">
      <w:pPr>
        <w:pStyle w:val="a3"/>
        <w:spacing w:line="252" w:lineRule="atLeast"/>
        <w:jc w:val="center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  <w:r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  <w:t xml:space="preserve">АДМИНИСТРАЦИЯ        </w:t>
      </w:r>
    </w:p>
    <w:p w:rsidR="0070469D" w:rsidRDefault="0070469D" w:rsidP="0070469D">
      <w:pPr>
        <w:pStyle w:val="a3"/>
        <w:jc w:val="center"/>
      </w:pPr>
      <w:r>
        <w:rPr>
          <w:rFonts w:eastAsia="SimSun" w:cs="Mangal"/>
          <w:sz w:val="32"/>
          <w:szCs w:val="32"/>
          <w:lang w:eastAsia="hi-IN" w:bidi="hi-IN"/>
        </w:rPr>
        <w:t>ДУХОВНИЦКОГО МУНИЦИПАЛЬНОГО РАЙОНА</w:t>
      </w:r>
    </w:p>
    <w:p w:rsidR="0070469D" w:rsidRDefault="0070469D" w:rsidP="0070469D">
      <w:pPr>
        <w:pStyle w:val="a3"/>
        <w:jc w:val="center"/>
      </w:pPr>
      <w:r>
        <w:rPr>
          <w:rFonts w:eastAsia="SimSun" w:cs="Mangal"/>
          <w:sz w:val="32"/>
          <w:szCs w:val="32"/>
          <w:lang w:eastAsia="hi-IN" w:bidi="hi-IN"/>
        </w:rPr>
        <w:t>САРАТОВСКОЙ ОБЛАСТИ</w:t>
      </w:r>
    </w:p>
    <w:p w:rsidR="0070469D" w:rsidRDefault="0070469D" w:rsidP="0070469D">
      <w:pPr>
        <w:pStyle w:val="a3"/>
        <w:spacing w:line="20" w:lineRule="exact"/>
        <w:jc w:val="center"/>
      </w:pPr>
    </w:p>
    <w:p w:rsidR="0070469D" w:rsidRDefault="0070469D" w:rsidP="0070469D">
      <w:pPr>
        <w:pStyle w:val="a3"/>
      </w:pPr>
    </w:p>
    <w:p w:rsidR="0070469D" w:rsidRDefault="0070469D" w:rsidP="0070469D">
      <w:pPr>
        <w:pStyle w:val="a3"/>
        <w:keepNext/>
        <w:tabs>
          <w:tab w:val="left" w:pos="0"/>
        </w:tabs>
        <w:overflowPunct w:val="0"/>
        <w:jc w:val="center"/>
      </w:pPr>
      <w:proofErr w:type="gramStart"/>
      <w:r>
        <w:rPr>
          <w:rFonts w:eastAsia="SimSun" w:cs="Mangal"/>
          <w:b/>
          <w:sz w:val="28"/>
          <w:szCs w:val="28"/>
          <w:lang w:eastAsia="hi-IN" w:bidi="hi-IN"/>
        </w:rPr>
        <w:t>П</w:t>
      </w:r>
      <w:proofErr w:type="gramEnd"/>
      <w:r>
        <w:rPr>
          <w:rFonts w:eastAsia="SimSun" w:cs="Mangal"/>
          <w:b/>
          <w:sz w:val="28"/>
          <w:szCs w:val="28"/>
          <w:lang w:eastAsia="hi-IN" w:bidi="hi-IN"/>
        </w:rPr>
        <w:t xml:space="preserve"> О С Т А Н О В Л Е Н И Е </w:t>
      </w:r>
    </w:p>
    <w:p w:rsidR="0070469D" w:rsidRDefault="0070469D" w:rsidP="0070469D">
      <w:pPr>
        <w:pStyle w:val="a3"/>
        <w:jc w:val="center"/>
      </w:pPr>
    </w:p>
    <w:p w:rsidR="0070469D" w:rsidRDefault="0070469D" w:rsidP="0070469D">
      <w:pPr>
        <w:pStyle w:val="a3"/>
      </w:pPr>
      <w:r>
        <w:rPr>
          <w:rFonts w:eastAsia="SimSun" w:cs="Mangal"/>
          <w:b/>
          <w:lang w:eastAsia="hi-IN" w:bidi="hi-IN"/>
        </w:rPr>
        <w:t xml:space="preserve">                                                         От         </w:t>
      </w:r>
      <w:r>
        <w:rPr>
          <w:rFonts w:eastAsia="SimSun" w:cs="Mangal"/>
          <w:b/>
          <w:lang w:eastAsia="hi-IN" w:bidi="hi-IN"/>
        </w:rPr>
        <w:t>.</w:t>
      </w:r>
      <w:r>
        <w:rPr>
          <w:rFonts w:eastAsia="SimSun" w:cs="Mangal"/>
          <w:b/>
          <w:lang w:eastAsia="hi-IN" w:bidi="hi-IN"/>
        </w:rPr>
        <w:t xml:space="preserve">2024г.   № </w:t>
      </w:r>
    </w:p>
    <w:p w:rsidR="0070469D" w:rsidRDefault="0070469D" w:rsidP="0070469D">
      <w:pPr>
        <w:pStyle w:val="a3"/>
        <w:jc w:val="both"/>
      </w:pPr>
    </w:p>
    <w:p w:rsidR="0070469D" w:rsidRDefault="0070469D" w:rsidP="0070469D">
      <w:pPr>
        <w:pStyle w:val="a3"/>
        <w:jc w:val="center"/>
      </w:pPr>
      <w:proofErr w:type="spellStart"/>
      <w:r>
        <w:rPr>
          <w:rFonts w:eastAsia="SimSun" w:cs="Mangal"/>
          <w:sz w:val="22"/>
          <w:szCs w:val="22"/>
          <w:lang w:eastAsia="hi-IN" w:bidi="hi-IN"/>
        </w:rPr>
        <w:t>р.п</w:t>
      </w:r>
      <w:proofErr w:type="spellEnd"/>
      <w:r>
        <w:rPr>
          <w:rFonts w:eastAsia="SimSun" w:cs="Mangal"/>
          <w:sz w:val="22"/>
          <w:szCs w:val="22"/>
          <w:lang w:eastAsia="hi-IN" w:bidi="hi-IN"/>
        </w:rPr>
        <w:t>. Духовницкое</w:t>
      </w:r>
    </w:p>
    <w:p w:rsidR="0070469D" w:rsidRDefault="0070469D" w:rsidP="0070469D">
      <w:pPr>
        <w:pStyle w:val="a3"/>
        <w:ind w:right="5953"/>
      </w:pPr>
    </w:p>
    <w:tbl>
      <w:tblPr>
        <w:tblW w:w="732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8"/>
      </w:tblGrid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7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70469D">
            <w:pPr>
              <w:pStyle w:val="a3"/>
              <w:ind w:left="-108" w:right="-9"/>
            </w:pPr>
            <w:r>
              <w:rPr>
                <w:b/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</w:t>
            </w: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Духовницкого муниципального образования на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70469D" w:rsidRDefault="0070469D" w:rsidP="0070469D">
            <w:pPr>
              <w:pStyle w:val="a3"/>
              <w:ind w:left="-108" w:right="5953"/>
            </w:pPr>
          </w:p>
        </w:tc>
      </w:tr>
    </w:tbl>
    <w:p w:rsidR="0070469D" w:rsidRDefault="0070469D" w:rsidP="0070469D">
      <w:pPr>
        <w:pStyle w:val="a3"/>
        <w:ind w:right="5953"/>
      </w:pPr>
    </w:p>
    <w:p w:rsidR="0070469D" w:rsidRDefault="0070469D" w:rsidP="0070469D">
      <w:pPr>
        <w:pStyle w:val="a3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bCs/>
          <w:color w:val="000000"/>
          <w:sz w:val="28"/>
          <w:szCs w:val="28"/>
        </w:rPr>
        <w:t xml:space="preserve">Духовницкого муниципального </w:t>
      </w:r>
      <w:r>
        <w:rPr>
          <w:color w:val="000000"/>
          <w:sz w:val="28"/>
          <w:szCs w:val="28"/>
        </w:rPr>
        <w:t xml:space="preserve">района </w:t>
      </w:r>
      <w:r>
        <w:rPr>
          <w:b/>
          <w:color w:val="000000"/>
          <w:sz w:val="28"/>
          <w:szCs w:val="28"/>
        </w:rPr>
        <w:t>ПОСТАНОВЛЯЕТ:</w:t>
      </w:r>
      <w:proofErr w:type="gramEnd"/>
    </w:p>
    <w:p w:rsidR="0070469D" w:rsidRDefault="0070469D" w:rsidP="0070469D">
      <w:pPr>
        <w:pStyle w:val="a3"/>
        <w:ind w:firstLine="709"/>
        <w:jc w:val="both"/>
      </w:pP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в области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Духовницкого муниципального образования Духовницкого муниципального образования </w:t>
      </w:r>
      <w:r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70469D" w:rsidRDefault="0070469D" w:rsidP="0070469D">
      <w:pPr>
        <w:pStyle w:val="2"/>
        <w:tabs>
          <w:tab w:val="left" w:pos="1200"/>
        </w:tabs>
      </w:pPr>
      <w:r>
        <w:rPr>
          <w:color w:val="000000"/>
          <w:sz w:val="28"/>
          <w:szCs w:val="28"/>
        </w:rPr>
        <w:t xml:space="preserve">          2. </w:t>
      </w:r>
      <w:r>
        <w:rPr>
          <w:rFonts w:cs="Mangal"/>
          <w:color w:val="000000"/>
          <w:sz w:val="28"/>
          <w:szCs w:val="28"/>
          <w:lang w:eastAsia="hi-IN" w:bidi="hi-IN"/>
        </w:rPr>
        <w:t xml:space="preserve"> </w:t>
      </w:r>
      <w:proofErr w:type="gramStart"/>
      <w:r>
        <w:rPr>
          <w:rFonts w:cs="Mangal"/>
          <w:color w:val="000000"/>
          <w:sz w:val="28"/>
          <w:szCs w:val="28"/>
          <w:lang w:eastAsia="hi-IN" w:bidi="hi-IN"/>
        </w:rPr>
        <w:t>Разместить постановление</w:t>
      </w:r>
      <w:proofErr w:type="gramEnd"/>
      <w:r>
        <w:rPr>
          <w:rFonts w:cs="Mangal"/>
          <w:color w:val="000000"/>
          <w:sz w:val="28"/>
          <w:szCs w:val="28"/>
          <w:lang w:eastAsia="hi-IN" w:bidi="hi-IN"/>
        </w:rPr>
        <w:t xml:space="preserve"> на официальном сайте администрации Духовницкого муниципального района.</w:t>
      </w:r>
    </w:p>
    <w:p w:rsidR="0070469D" w:rsidRDefault="0070469D" w:rsidP="0070469D">
      <w:pPr>
        <w:pStyle w:val="a3"/>
        <w:widowControl w:val="0"/>
        <w:spacing w:line="240" w:lineRule="atLeast"/>
        <w:ind w:firstLine="709"/>
        <w:jc w:val="both"/>
      </w:pPr>
      <w:r>
        <w:rPr>
          <w:rFonts w:cs="Mangal"/>
          <w:color w:val="000000"/>
          <w:sz w:val="28"/>
          <w:szCs w:val="28"/>
          <w:lang w:eastAsia="hi-IN" w:bidi="hi-IN"/>
        </w:rPr>
        <w:t xml:space="preserve">3. </w:t>
      </w:r>
      <w:proofErr w:type="gramStart"/>
      <w:r>
        <w:rPr>
          <w:rFonts w:eastAsia="SimSun;宋体" w:cs="Mangal"/>
          <w:sz w:val="28"/>
          <w:szCs w:val="28"/>
          <w:lang w:eastAsia="hi-IN" w:bidi="hi-IN"/>
        </w:rPr>
        <w:t>Контроль за</w:t>
      </w:r>
      <w:proofErr w:type="gramEnd"/>
      <w:r>
        <w:rPr>
          <w:rFonts w:eastAsia="SimSun;宋体" w:cs="Mangal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;宋体" w:cs="Mangal"/>
          <w:sz w:val="28"/>
          <w:szCs w:val="28"/>
          <w:lang w:eastAsia="hi-IN" w:bidi="hi-IN"/>
        </w:rPr>
        <w:t>оставляю за собой</w:t>
      </w:r>
      <w:r>
        <w:rPr>
          <w:color w:val="000000"/>
          <w:sz w:val="28"/>
          <w:szCs w:val="28"/>
          <w:lang w:eastAsia="ar-SA"/>
        </w:rPr>
        <w:t>.</w:t>
      </w:r>
    </w:p>
    <w:p w:rsidR="0070469D" w:rsidRDefault="0070469D" w:rsidP="0070469D">
      <w:pPr>
        <w:pStyle w:val="2"/>
        <w:tabs>
          <w:tab w:val="left" w:pos="1200"/>
        </w:tabs>
      </w:pPr>
    </w:p>
    <w:p w:rsidR="0070469D" w:rsidRDefault="0070469D" w:rsidP="0070469D">
      <w:pPr>
        <w:pStyle w:val="a3"/>
      </w:pPr>
    </w:p>
    <w:p w:rsidR="0070469D" w:rsidRDefault="0070469D" w:rsidP="0070469D">
      <w:pPr>
        <w:pStyle w:val="a3"/>
      </w:pPr>
      <w:proofErr w:type="spellStart"/>
      <w:r>
        <w:rPr>
          <w:b/>
          <w:color w:val="000000"/>
          <w:sz w:val="28"/>
          <w:szCs w:val="28"/>
        </w:rPr>
        <w:t>И.о</w:t>
      </w:r>
      <w:proofErr w:type="spellEnd"/>
      <w:r>
        <w:rPr>
          <w:b/>
          <w:color w:val="000000"/>
          <w:sz w:val="28"/>
          <w:szCs w:val="28"/>
        </w:rPr>
        <w:t>. г</w:t>
      </w:r>
      <w:r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Духовницкого</w:t>
      </w:r>
    </w:p>
    <w:p w:rsidR="0070469D" w:rsidRDefault="0070469D" w:rsidP="0070469D">
      <w:pPr>
        <w:pStyle w:val="a3"/>
        <w:sectPr w:rsidR="0070469D" w:rsidSect="00E64580">
          <w:pgSz w:w="11906" w:h="16838"/>
          <w:pgMar w:top="1134" w:right="850" w:bottom="1134" w:left="1701" w:header="720" w:footer="720" w:gutter="0"/>
          <w:cols w:space="720"/>
          <w:formProt w:val="0"/>
          <w:docGrid w:linePitch="299"/>
        </w:sectPr>
      </w:pPr>
      <w:r>
        <w:rPr>
          <w:b/>
          <w:color w:val="000000"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</w:t>
      </w:r>
      <w:proofErr w:type="spellStart"/>
      <w:r>
        <w:rPr>
          <w:b/>
          <w:color w:val="000000"/>
          <w:sz w:val="28"/>
          <w:szCs w:val="28"/>
        </w:rPr>
        <w:t>И.</w:t>
      </w:r>
      <w:r>
        <w:rPr>
          <w:b/>
          <w:color w:val="000000"/>
          <w:sz w:val="28"/>
          <w:szCs w:val="28"/>
        </w:rPr>
        <w:t>С.</w:t>
      </w:r>
      <w:r>
        <w:rPr>
          <w:b/>
          <w:color w:val="000000"/>
          <w:sz w:val="28"/>
          <w:szCs w:val="28"/>
        </w:rPr>
        <w:t>Лялин</w:t>
      </w:r>
      <w:proofErr w:type="spellEnd"/>
    </w:p>
    <w:p w:rsidR="0070469D" w:rsidRDefault="0070469D" w:rsidP="0070469D">
      <w:pPr>
        <w:pStyle w:val="a3"/>
        <w:pageBreakBefore/>
        <w:jc w:val="right"/>
      </w:pPr>
      <w:r>
        <w:rPr>
          <w:color w:val="000000"/>
          <w:sz w:val="22"/>
          <w:szCs w:val="22"/>
        </w:rPr>
        <w:lastRenderedPageBreak/>
        <w:t>Приложение</w:t>
      </w:r>
    </w:p>
    <w:p w:rsidR="0070469D" w:rsidRDefault="0070469D" w:rsidP="0070469D">
      <w:pPr>
        <w:pStyle w:val="a3"/>
        <w:ind w:left="4536"/>
        <w:jc w:val="right"/>
      </w:pPr>
      <w:r>
        <w:rPr>
          <w:color w:val="000000"/>
          <w:sz w:val="22"/>
          <w:szCs w:val="22"/>
        </w:rPr>
        <w:t xml:space="preserve">к постановлению администрации </w:t>
      </w:r>
    </w:p>
    <w:p w:rsidR="0070469D" w:rsidRDefault="0070469D" w:rsidP="0070469D">
      <w:pPr>
        <w:pStyle w:val="a3"/>
        <w:ind w:left="4536"/>
        <w:jc w:val="right"/>
      </w:pPr>
      <w:r>
        <w:rPr>
          <w:color w:val="000000"/>
          <w:sz w:val="22"/>
          <w:szCs w:val="22"/>
        </w:rPr>
        <w:t>Духовницкого муниципального района</w:t>
      </w:r>
    </w:p>
    <w:p w:rsidR="0070469D" w:rsidRDefault="0070469D" w:rsidP="0070469D">
      <w:pPr>
        <w:pStyle w:val="a3"/>
        <w:tabs>
          <w:tab w:val="left" w:pos="5245"/>
          <w:tab w:val="left" w:pos="9781"/>
          <w:tab w:val="left" w:pos="13808"/>
        </w:tabs>
        <w:ind w:left="4536"/>
        <w:jc w:val="right"/>
      </w:pPr>
      <w:r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___</w:t>
      </w:r>
    </w:p>
    <w:p w:rsidR="0070469D" w:rsidRDefault="0070469D" w:rsidP="0070469D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Духовницкого муниципального образования на 202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70469D" w:rsidRDefault="0070469D" w:rsidP="0070469D">
      <w:pPr>
        <w:pStyle w:val="a3"/>
        <w:shd w:val="clear" w:color="auto" w:fill="FFFFFF"/>
        <w:jc w:val="center"/>
      </w:pPr>
    </w:p>
    <w:p w:rsidR="0070469D" w:rsidRDefault="0070469D" w:rsidP="0070469D">
      <w:pPr>
        <w:pStyle w:val="a3"/>
        <w:ind w:firstLine="708"/>
        <w:jc w:val="both"/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Духовницкого муниципального образования</w:t>
      </w:r>
      <w:r>
        <w:rPr>
          <w:color w:val="000000"/>
          <w:sz w:val="28"/>
          <w:szCs w:val="28"/>
        </w:rPr>
        <w:t xml:space="preserve"> на 2024 год (далее также – Программа профилактики).</w:t>
      </w: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70469D" w:rsidRDefault="0070469D" w:rsidP="0070469D">
      <w:pPr>
        <w:pStyle w:val="a3"/>
        <w:jc w:val="both"/>
      </w:pPr>
      <w:proofErr w:type="gramStart"/>
      <w:r>
        <w:rPr>
          <w:color w:val="000000"/>
          <w:sz w:val="28"/>
          <w:szCs w:val="28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>
        <w:rPr>
          <w:color w:val="000000"/>
          <w:sz w:val="28"/>
          <w:szCs w:val="28"/>
        </w:rPr>
        <w:t xml:space="preserve"> Д</w:t>
      </w:r>
      <w:r>
        <w:rPr>
          <w:bCs/>
          <w:color w:val="000000"/>
          <w:sz w:val="28"/>
          <w:szCs w:val="28"/>
        </w:rPr>
        <w:t xml:space="preserve">уховницкого муниципального образования </w:t>
      </w:r>
      <w:r>
        <w:rPr>
          <w:color w:val="000000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/>
          <w:sz w:val="28"/>
          <w:szCs w:val="28"/>
        </w:rPr>
        <w:t xml:space="preserve"> благоустройства.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</w:t>
      </w:r>
      <w:r>
        <w:rPr>
          <w:color w:val="000000"/>
          <w:sz w:val="28"/>
          <w:szCs w:val="28"/>
        </w:rPr>
        <w:lastRenderedPageBreak/>
        <w:t>контроля (надзора) и муниципального контроля» администрацией Духовницкого муниципального района</w:t>
      </w:r>
    </w:p>
    <w:p w:rsidR="0070469D" w:rsidRDefault="0070469D" w:rsidP="0070469D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осуществлялась.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70469D" w:rsidRDefault="0070469D" w:rsidP="0070469D">
      <w:pPr>
        <w:pStyle w:val="2"/>
        <w:tabs>
          <w:tab w:val="left" w:pos="1200"/>
        </w:tabs>
        <w:spacing w:line="240" w:lineRule="auto"/>
      </w:pPr>
      <w:r>
        <w:rPr>
          <w:color w:val="000000"/>
          <w:sz w:val="28"/>
          <w:szCs w:val="28"/>
        </w:rPr>
        <w:t xml:space="preserve">           3) складирования твердых коммунальных отходов вне выделенных для такого складирования мест;</w:t>
      </w:r>
    </w:p>
    <w:p w:rsidR="0070469D" w:rsidRDefault="0070469D" w:rsidP="0070469D">
      <w:pPr>
        <w:pStyle w:val="2"/>
        <w:tabs>
          <w:tab w:val="left" w:pos="1200"/>
        </w:tabs>
        <w:spacing w:line="240" w:lineRule="auto"/>
      </w:pPr>
      <w:r>
        <w:rPr>
          <w:color w:val="000000"/>
          <w:sz w:val="28"/>
          <w:szCs w:val="28"/>
        </w:rPr>
        <w:t xml:space="preserve">           4)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8"/>
        <w:jc w:val="both"/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70469D" w:rsidRPr="00395BED" w:rsidRDefault="0070469D" w:rsidP="0070469D">
      <w:pPr>
        <w:pStyle w:val="a3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95BED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0469D" w:rsidRPr="00395BED" w:rsidRDefault="0070469D" w:rsidP="0070469D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организация и проведение профилактических мероприятий с учетом состояния подконтрольной среды</w:t>
      </w:r>
      <w:r w:rsidRPr="00395BED">
        <w:rPr>
          <w:color w:val="000000"/>
          <w:sz w:val="28"/>
          <w:szCs w:val="28"/>
        </w:rPr>
        <w:t xml:space="preserve"> и </w:t>
      </w:r>
      <w:proofErr w:type="gramStart"/>
      <w:r w:rsidRPr="00395BED">
        <w:rPr>
          <w:color w:val="000000"/>
          <w:sz w:val="28"/>
          <w:szCs w:val="28"/>
        </w:rPr>
        <w:t>анализа</w:t>
      </w:r>
      <w:proofErr w:type="gramEnd"/>
      <w:r w:rsidRPr="00395BED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395BED">
        <w:rPr>
          <w:color w:val="000000"/>
          <w:spacing w:val="-6"/>
          <w:sz w:val="28"/>
          <w:szCs w:val="28"/>
        </w:rPr>
        <w:t xml:space="preserve"> </w:t>
      </w:r>
      <w:r w:rsidRPr="00395BED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395BED">
        <w:rPr>
          <w:sz w:val="28"/>
          <w:szCs w:val="28"/>
        </w:rPr>
        <w:t>.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8"/>
      </w:pPr>
      <w:r>
        <w:rPr>
          <w:color w:val="000000"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0469D" w:rsidRDefault="0070469D" w:rsidP="0070469D">
      <w:pPr>
        <w:pStyle w:val="s1"/>
        <w:shd w:val="clear" w:color="auto" w:fill="FFFFFF"/>
        <w:spacing w:before="28" w:after="28"/>
        <w:ind w:firstLine="709"/>
      </w:pPr>
    </w:p>
    <w:tbl>
      <w:tblPr>
        <w:tblW w:w="9952" w:type="dxa"/>
        <w:tblInd w:w="-1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84"/>
        <w:gridCol w:w="2551"/>
        <w:gridCol w:w="1843"/>
        <w:gridCol w:w="2227"/>
      </w:tblGrid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hd w:val="clear" w:color="auto" w:fill="FFFFFF"/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0469D" w:rsidRDefault="0070469D" w:rsidP="00AC7B89">
            <w:pPr>
              <w:pStyle w:val="a3"/>
              <w:shd w:val="clear" w:color="auto" w:fill="FFFFFF"/>
              <w:ind w:firstLine="187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70469D">
            <w:pPr>
              <w:pStyle w:val="a3"/>
              <w:ind w:left="-108" w:right="-108"/>
              <w:jc w:val="center"/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</w:rPr>
              <w:t>года, следующего за отчетным годом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До 1 июля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</w:rPr>
              <w:t>года, следующего за отчетным годом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proofErr w:type="gramStart"/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/>
                <w:lang w:eastAsia="en-US"/>
              </w:rPr>
              <w:t xml:space="preserve"> законом ценностям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По мере выявления готовящихся нарушений обязательных требований 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70469D" w:rsidRDefault="0070469D" w:rsidP="00AC7B89">
            <w:pPr>
              <w:pStyle w:val="a3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Консультирование контролируемых лиц в устной или письменной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0469D" w:rsidRDefault="0070469D" w:rsidP="00AC7B89">
            <w:pPr>
              <w:pStyle w:val="a3"/>
              <w:spacing w:line="240" w:lineRule="auto"/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  <w:r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</w:t>
            </w:r>
            <w:r>
              <w:rPr>
                <w:color w:val="000000"/>
                <w:lang w:eastAsia="en-US"/>
              </w:rPr>
              <w:lastRenderedPageBreak/>
              <w:t>телефону, по видео-конференц-связи и на личном приеме</w:t>
            </w:r>
          </w:p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</w:p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При обращении лица, </w:t>
            </w:r>
            <w:r>
              <w:rPr>
                <w:color w:val="000000"/>
                <w:lang w:eastAsia="en-US"/>
              </w:rPr>
              <w:lastRenderedPageBreak/>
              <w:t>нуждающегося в консультировании</w:t>
            </w:r>
          </w:p>
          <w:p w:rsidR="0070469D" w:rsidRDefault="0070469D" w:rsidP="00AC7B89">
            <w:pPr>
              <w:pStyle w:val="a3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Администрация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о</w:t>
            </w:r>
            <w:proofErr w:type="gramEnd"/>
            <w:r>
              <w:rPr>
                <w:color w:val="000000"/>
                <w:lang w:eastAsia="en-US"/>
              </w:rPr>
              <w:t xml:space="preserve">тдел строительства, </w:t>
            </w:r>
            <w:r>
              <w:rPr>
                <w:color w:val="000000"/>
                <w:lang w:eastAsia="en-US"/>
              </w:rPr>
              <w:lastRenderedPageBreak/>
              <w:t>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Духовницкого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</w:t>
            </w:r>
            <w:r>
              <w:rPr>
                <w:color w:val="000000"/>
                <w:lang w:eastAsia="en-US"/>
              </w:rPr>
              <w:lastRenderedPageBreak/>
              <w:t>сфере благоустройства в день проведения собрания (конференции) граждан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70469D" w:rsidRDefault="0070469D" w:rsidP="00AC7B89">
            <w:pPr>
              <w:pStyle w:val="a3"/>
              <w:jc w:val="center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</w:tbl>
    <w:p w:rsidR="0070469D" w:rsidRDefault="0070469D" w:rsidP="0070469D">
      <w:pPr>
        <w:pStyle w:val="s1"/>
        <w:shd w:val="clear" w:color="auto" w:fill="FFFFFF"/>
        <w:spacing w:before="28" w:after="28"/>
        <w:ind w:firstLine="709"/>
        <w:jc w:val="both"/>
      </w:pPr>
    </w:p>
    <w:p w:rsidR="0070469D" w:rsidRDefault="0070469D" w:rsidP="0070469D">
      <w:pPr>
        <w:pStyle w:val="s1"/>
        <w:shd w:val="clear" w:color="auto" w:fill="FFFFFF"/>
        <w:spacing w:before="28" w:after="28"/>
        <w:ind w:firstLine="709"/>
        <w:jc w:val="both"/>
      </w:pPr>
      <w:r>
        <w:rPr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70469D" w:rsidRDefault="0070469D" w:rsidP="0070469D">
      <w:pPr>
        <w:pStyle w:val="a3"/>
        <w:jc w:val="both"/>
      </w:pPr>
    </w:p>
    <w:tbl>
      <w:tblPr>
        <w:tblW w:w="10144" w:type="dxa"/>
        <w:tblInd w:w="-3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07"/>
        <w:gridCol w:w="5479"/>
      </w:tblGrid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100 %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/>
                <w:lang w:eastAsia="en-US"/>
              </w:rPr>
              <w:t>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100 %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>выявления готовящихся нарушений обязательных требований 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0%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</w:t>
            </w:r>
            <w:r>
              <w:rPr>
                <w:color w:val="000000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70469D" w:rsidRPr="00AE376C" w:rsidTr="00AC7B89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2</w:t>
            </w:r>
          </w:p>
        </w:tc>
      </w:tr>
    </w:tbl>
    <w:p w:rsidR="0070469D" w:rsidRDefault="0070469D" w:rsidP="0070469D">
      <w:pPr>
        <w:pStyle w:val="s1"/>
        <w:shd w:val="clear" w:color="auto" w:fill="FFFFFF"/>
        <w:spacing w:before="28" w:after="28"/>
        <w:jc w:val="center"/>
      </w:pP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45986" w:rsidRDefault="00245986"/>
    <w:sectPr w:rsidR="00245986">
      <w:headerReference w:type="default" r:id="rId7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69" w:rsidRDefault="0070469D">
    <w:pPr>
      <w:pStyle w:val="a5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07F8"/>
    <w:multiLevelType w:val="multilevel"/>
    <w:tmpl w:val="BBDC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2.%3)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9D"/>
    <w:rsid w:val="00245986"/>
    <w:rsid w:val="007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D"/>
    <w:pPr>
      <w:spacing w:after="160" w:line="259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469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character" w:styleId="a4">
    <w:name w:val="footnote reference"/>
    <w:basedOn w:val="a0"/>
    <w:rsid w:val="0070469D"/>
  </w:style>
  <w:style w:type="paragraph" w:styleId="2">
    <w:name w:val="Body Text 2"/>
    <w:basedOn w:val="a3"/>
    <w:link w:val="20"/>
    <w:rsid w:val="0070469D"/>
  </w:style>
  <w:style w:type="character" w:customStyle="1" w:styleId="20">
    <w:name w:val="Основной текст 2 Знак"/>
    <w:basedOn w:val="a0"/>
    <w:link w:val="2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s1">
    <w:name w:val="s_1"/>
    <w:basedOn w:val="a3"/>
    <w:rsid w:val="0070469D"/>
  </w:style>
  <w:style w:type="paragraph" w:customStyle="1" w:styleId="ConsPlusNormal">
    <w:name w:val="ConsPlusNormal"/>
    <w:rsid w:val="0070469D"/>
    <w:pPr>
      <w:widowControl w:val="0"/>
      <w:tabs>
        <w:tab w:val="left" w:pos="709"/>
      </w:tabs>
      <w:suppressAutoHyphens/>
      <w:spacing w:after="160" w:line="259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header"/>
    <w:basedOn w:val="a3"/>
    <w:link w:val="a6"/>
    <w:rsid w:val="0070469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D"/>
    <w:pPr>
      <w:spacing w:after="160" w:line="259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469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character" w:styleId="a4">
    <w:name w:val="footnote reference"/>
    <w:basedOn w:val="a0"/>
    <w:rsid w:val="0070469D"/>
  </w:style>
  <w:style w:type="paragraph" w:styleId="2">
    <w:name w:val="Body Text 2"/>
    <w:basedOn w:val="a3"/>
    <w:link w:val="20"/>
    <w:rsid w:val="0070469D"/>
  </w:style>
  <w:style w:type="character" w:customStyle="1" w:styleId="20">
    <w:name w:val="Основной текст 2 Знак"/>
    <w:basedOn w:val="a0"/>
    <w:link w:val="2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s1">
    <w:name w:val="s_1"/>
    <w:basedOn w:val="a3"/>
    <w:rsid w:val="0070469D"/>
  </w:style>
  <w:style w:type="paragraph" w:customStyle="1" w:styleId="ConsPlusNormal">
    <w:name w:val="ConsPlusNormal"/>
    <w:rsid w:val="0070469D"/>
    <w:pPr>
      <w:widowControl w:val="0"/>
      <w:tabs>
        <w:tab w:val="left" w:pos="709"/>
      </w:tabs>
      <w:suppressAutoHyphens/>
      <w:spacing w:after="160" w:line="259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header"/>
    <w:basedOn w:val="a3"/>
    <w:link w:val="a6"/>
    <w:rsid w:val="0070469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2024-11-28T10:24:00Z</dcterms:created>
  <dcterms:modified xsi:type="dcterms:W3CDTF">2024-11-28T10:34:00Z</dcterms:modified>
</cp:coreProperties>
</file>