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640779322"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C80D28">
      <w:pPr>
        <w:spacing w:line="240" w:lineRule="auto"/>
        <w:rPr>
          <w:rFonts w:ascii="Times New Roman" w:hAnsi="Times New Roman"/>
        </w:rPr>
      </w:pPr>
    </w:p>
    <w:p w:rsidR="00885997"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w:t>
      </w:r>
    </w:p>
    <w:p w:rsidR="00885997" w:rsidRPr="000E39DF" w:rsidRDefault="00C80D28" w:rsidP="00C80D28">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4E2EE4" w:rsidP="00C80D28">
      <w:pPr>
        <w:spacing w:line="240" w:lineRule="auto"/>
        <w:rPr>
          <w:rFonts w:ascii="Times New Roman" w:hAnsi="Times New Roman"/>
          <w:b/>
          <w:sz w:val="36"/>
          <w:szCs w:val="36"/>
        </w:rPr>
      </w:pPr>
      <w:r>
        <w:rPr>
          <w:rFonts w:ascii="Times New Roman" w:hAnsi="Times New Roman"/>
          <w:b/>
          <w:sz w:val="36"/>
          <w:szCs w:val="36"/>
        </w:rPr>
        <w:t>ДУХОВНИЦКОГО</w:t>
      </w:r>
    </w:p>
    <w:p w:rsidR="006B1BCD"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МУНИЦИПАЛЬНОГО РАЙОНА</w:t>
      </w:r>
    </w:p>
    <w:p w:rsidR="00885997" w:rsidRPr="000E39DF" w:rsidRDefault="00885997" w:rsidP="00C80D28">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640779323"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tblPr>
      <w:tblGrid>
        <w:gridCol w:w="5353"/>
        <w:gridCol w:w="3969"/>
      </w:tblGrid>
      <w:tr w:rsidR="00754ED0" w:rsidTr="00EA06FF">
        <w:tc>
          <w:tcPr>
            <w:tcW w:w="5353" w:type="dxa"/>
            <w:hideMark/>
          </w:tcPr>
          <w:p w:rsidR="00754ED0" w:rsidRPr="00754ED0" w:rsidRDefault="00754ED0" w:rsidP="00EA06FF">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EA06FF">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EA06FF">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EA06FF">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EA06FF">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47133C" w:rsidP="001A2C4E">
      <w:pPr>
        <w:suppressAutoHyphens/>
        <w:spacing w:line="240" w:lineRule="auto"/>
        <w:rPr>
          <w:rFonts w:ascii="Times New Roman" w:hAnsi="Times New Roman"/>
          <w:b/>
          <w:sz w:val="36"/>
          <w:szCs w:val="36"/>
        </w:rPr>
      </w:pPr>
      <w:r>
        <w:rPr>
          <w:rFonts w:ascii="Times New Roman" w:hAnsi="Times New Roman"/>
          <w:b/>
          <w:sz w:val="36"/>
          <w:szCs w:val="36"/>
        </w:rPr>
        <w:t>БРЫКОВСКОЕ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DB21E7" w:rsidP="001A2C4E">
      <w:pPr>
        <w:spacing w:line="240" w:lineRule="auto"/>
        <w:rPr>
          <w:rFonts w:ascii="Times New Roman" w:hAnsi="Times New Roman"/>
        </w:rPr>
      </w:pPr>
      <w:r w:rsidRPr="00DB21E7">
        <w:rPr>
          <w:rFonts w:ascii="Times New Roman" w:hAnsi="Times New Roman"/>
        </w:rPr>
        <w:t>утверждены решением районного Собрания от 26.01.2017г № 10</w:t>
      </w:r>
      <w:r>
        <w:rPr>
          <w:rFonts w:ascii="Times New Roman" w:hAnsi="Times New Roman"/>
        </w:rPr>
        <w:t>/</w:t>
      </w:r>
      <w:r w:rsidRPr="00DB21E7">
        <w:rPr>
          <w:rFonts w:ascii="Times New Roman" w:hAnsi="Times New Roman"/>
        </w:rPr>
        <w:t>68 с изменениями от 25.01.2018г №38</w:t>
      </w:r>
      <w:r>
        <w:rPr>
          <w:rFonts w:ascii="Times New Roman" w:hAnsi="Times New Roman"/>
        </w:rPr>
        <w:t>/</w:t>
      </w:r>
      <w:r w:rsidRPr="00DB21E7">
        <w:rPr>
          <w:rFonts w:ascii="Times New Roman" w:hAnsi="Times New Roman"/>
        </w:rPr>
        <w:t>191; от 20.09.2018г №54</w:t>
      </w:r>
      <w:r>
        <w:rPr>
          <w:rFonts w:ascii="Times New Roman" w:hAnsi="Times New Roman"/>
        </w:rPr>
        <w:t>/</w:t>
      </w:r>
      <w:r w:rsidRPr="00DB21E7">
        <w:rPr>
          <w:rFonts w:ascii="Times New Roman" w:hAnsi="Times New Roman"/>
        </w:rPr>
        <w:t>272.</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47133C"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48820"/>
      <w:r w:rsidRPr="0047133C">
        <w:rPr>
          <w:rFonts w:ascii="Times New Roman" w:hAnsi="Times New Roman" w:cs="Times New Roman"/>
          <w:b/>
          <w:color w:val="auto"/>
          <w:kern w:val="32"/>
          <w:sz w:val="24"/>
          <w:szCs w:val="24"/>
          <w:u w:val="single"/>
          <w:lang w:eastAsia="ar-SA"/>
        </w:rPr>
        <w:lastRenderedPageBreak/>
        <w:t>СОДЕРЖАНИЕ</w:t>
      </w:r>
      <w:bookmarkEnd w:id="0"/>
    </w:p>
    <w:p w:rsidR="0047133C" w:rsidRPr="0047133C" w:rsidRDefault="001C51A3">
      <w:pPr>
        <w:pStyle w:val="11"/>
        <w:rPr>
          <w:rFonts w:eastAsiaTheme="minorEastAsia"/>
          <w:b w:val="0"/>
          <w:bCs w:val="0"/>
        </w:rPr>
      </w:pPr>
      <w:r w:rsidRPr="001C51A3">
        <w:rPr>
          <w:rFonts w:eastAsia="Calibri"/>
          <w:caps/>
          <w:lang w:eastAsia="en-US"/>
        </w:rPr>
        <w:fldChar w:fldCharType="begin"/>
      </w:r>
      <w:r w:rsidR="004C6C6D" w:rsidRPr="0047133C">
        <w:instrText xml:space="preserve"> TOC \o "1-3" \h \z \u </w:instrText>
      </w:r>
      <w:r w:rsidRPr="001C51A3">
        <w:rPr>
          <w:rFonts w:eastAsia="Calibri"/>
          <w:caps/>
          <w:lang w:eastAsia="en-US"/>
        </w:rPr>
        <w:fldChar w:fldCharType="separate"/>
      </w:r>
      <w:hyperlink w:anchor="_Toc468348820" w:history="1">
        <w:r w:rsidR="0047133C" w:rsidRPr="0047133C">
          <w:rPr>
            <w:rStyle w:val="a7"/>
            <w:kern w:val="32"/>
            <w:lang w:eastAsia="ar-SA"/>
          </w:rPr>
          <w:t>СОДЕРЖАНИЕ</w:t>
        </w:r>
        <w:r w:rsidR="0047133C" w:rsidRPr="0047133C">
          <w:rPr>
            <w:webHidden/>
          </w:rPr>
          <w:tab/>
        </w:r>
        <w:r w:rsidRPr="0047133C">
          <w:rPr>
            <w:webHidden/>
          </w:rPr>
          <w:fldChar w:fldCharType="begin"/>
        </w:r>
        <w:r w:rsidR="0047133C" w:rsidRPr="0047133C">
          <w:rPr>
            <w:webHidden/>
          </w:rPr>
          <w:instrText xml:space="preserve"> PAGEREF _Toc468348820 \h </w:instrText>
        </w:r>
        <w:r w:rsidRPr="0047133C">
          <w:rPr>
            <w:webHidden/>
          </w:rPr>
        </w:r>
        <w:r w:rsidRPr="0047133C">
          <w:rPr>
            <w:webHidden/>
          </w:rPr>
          <w:fldChar w:fldCharType="separate"/>
        </w:r>
        <w:r w:rsidR="0047133C" w:rsidRPr="0047133C">
          <w:rPr>
            <w:webHidden/>
          </w:rPr>
          <w:t>3</w:t>
        </w:r>
        <w:r w:rsidRPr="0047133C">
          <w:rPr>
            <w:webHidden/>
          </w:rPr>
          <w:fldChar w:fldCharType="end"/>
        </w:r>
      </w:hyperlink>
    </w:p>
    <w:p w:rsidR="0047133C" w:rsidRPr="0047133C" w:rsidRDefault="001C51A3">
      <w:pPr>
        <w:pStyle w:val="11"/>
        <w:rPr>
          <w:rFonts w:eastAsiaTheme="minorEastAsia"/>
          <w:b w:val="0"/>
          <w:bCs w:val="0"/>
        </w:rPr>
      </w:pPr>
      <w:hyperlink w:anchor="_Toc468348821" w:history="1">
        <w:r w:rsidR="0047133C" w:rsidRPr="0047133C">
          <w:rPr>
            <w:rStyle w:val="a7"/>
            <w:caps/>
            <w:kern w:val="32"/>
            <w:lang w:eastAsia="ar-SA"/>
          </w:rPr>
          <w:t>Часть I. Порядок применения Правил землепользования и застройки и внесения в них изменений</w:t>
        </w:r>
        <w:r w:rsidR="0047133C" w:rsidRPr="0047133C">
          <w:rPr>
            <w:webHidden/>
          </w:rPr>
          <w:tab/>
        </w:r>
        <w:r w:rsidRPr="0047133C">
          <w:rPr>
            <w:webHidden/>
          </w:rPr>
          <w:fldChar w:fldCharType="begin"/>
        </w:r>
        <w:r w:rsidR="0047133C" w:rsidRPr="0047133C">
          <w:rPr>
            <w:webHidden/>
          </w:rPr>
          <w:instrText xml:space="preserve"> PAGEREF _Toc468348821 \h </w:instrText>
        </w:r>
        <w:r w:rsidRPr="0047133C">
          <w:rPr>
            <w:webHidden/>
          </w:rPr>
        </w:r>
        <w:r w:rsidRPr="0047133C">
          <w:rPr>
            <w:webHidden/>
          </w:rPr>
          <w:fldChar w:fldCharType="separate"/>
        </w:r>
        <w:r w:rsidR="0047133C" w:rsidRPr="0047133C">
          <w:rPr>
            <w:webHidden/>
          </w:rPr>
          <w:t>5</w:t>
        </w:r>
        <w:r w:rsidRPr="0047133C">
          <w:rPr>
            <w:webHidden/>
          </w:rPr>
          <w:fldChar w:fldCharType="end"/>
        </w:r>
      </w:hyperlink>
    </w:p>
    <w:p w:rsidR="0047133C" w:rsidRPr="0047133C" w:rsidRDefault="001C51A3">
      <w:pPr>
        <w:pStyle w:val="21"/>
        <w:rPr>
          <w:rFonts w:eastAsiaTheme="minorEastAsia"/>
          <w:b w:val="0"/>
          <w:i w:val="0"/>
          <w:lang w:eastAsia="ru-RU"/>
        </w:rPr>
      </w:pPr>
      <w:hyperlink w:anchor="_Toc468348822" w:history="1">
        <w:r w:rsidR="0047133C" w:rsidRPr="0047133C">
          <w:rPr>
            <w:rStyle w:val="a7"/>
            <w:rFonts w:eastAsia="Times New Roman"/>
            <w:bCs/>
            <w:iCs/>
            <w:lang w:eastAsia="ar-SA"/>
          </w:rPr>
          <w:t>Глава 1. Общие положения</w:t>
        </w:r>
        <w:r w:rsidR="0047133C" w:rsidRPr="0047133C">
          <w:rPr>
            <w:webHidden/>
          </w:rPr>
          <w:tab/>
        </w:r>
        <w:r w:rsidRPr="0047133C">
          <w:rPr>
            <w:webHidden/>
          </w:rPr>
          <w:fldChar w:fldCharType="begin"/>
        </w:r>
        <w:r w:rsidR="0047133C" w:rsidRPr="0047133C">
          <w:rPr>
            <w:webHidden/>
          </w:rPr>
          <w:instrText xml:space="preserve"> PAGEREF _Toc468348822 \h </w:instrText>
        </w:r>
        <w:r w:rsidRPr="0047133C">
          <w:rPr>
            <w:webHidden/>
          </w:rPr>
        </w:r>
        <w:r w:rsidRPr="0047133C">
          <w:rPr>
            <w:webHidden/>
          </w:rPr>
          <w:fldChar w:fldCharType="separate"/>
        </w:r>
        <w:r w:rsidR="0047133C" w:rsidRPr="0047133C">
          <w:rPr>
            <w:webHidden/>
          </w:rPr>
          <w:t>5</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23" w:history="1">
        <w:r w:rsidR="0047133C" w:rsidRPr="0047133C">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_Toc468348823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24" w:history="1">
        <w:r w:rsidR="0047133C" w:rsidRPr="0047133C">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_Toc468348824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25" w:history="1">
        <w:r w:rsidR="0047133C" w:rsidRPr="0047133C">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_Toc468348825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10</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26" w:history="1">
        <w:r w:rsidR="0047133C" w:rsidRPr="0047133C">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_Toc468348826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11</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27" w:history="1">
        <w:r w:rsidR="0047133C" w:rsidRPr="0047133C">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47133C" w:rsidRPr="0047133C">
          <w:rPr>
            <w:webHidden/>
          </w:rPr>
          <w:tab/>
        </w:r>
        <w:r w:rsidRPr="0047133C">
          <w:rPr>
            <w:webHidden/>
          </w:rPr>
          <w:fldChar w:fldCharType="begin"/>
        </w:r>
        <w:r w:rsidR="0047133C" w:rsidRPr="0047133C">
          <w:rPr>
            <w:webHidden/>
          </w:rPr>
          <w:instrText xml:space="preserve"> PAGEREF _Toc468348827 \h </w:instrText>
        </w:r>
        <w:r w:rsidRPr="0047133C">
          <w:rPr>
            <w:webHidden/>
          </w:rPr>
        </w:r>
        <w:r w:rsidRPr="0047133C">
          <w:rPr>
            <w:webHidden/>
          </w:rPr>
          <w:fldChar w:fldCharType="separate"/>
        </w:r>
        <w:r w:rsidR="0047133C" w:rsidRPr="0047133C">
          <w:rPr>
            <w:webHidden/>
          </w:rPr>
          <w:t>11</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28" w:history="1">
        <w:r w:rsidR="0047133C" w:rsidRPr="0047133C">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_Toc468348828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11</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29" w:history="1">
        <w:r w:rsidR="0047133C" w:rsidRPr="0047133C">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47133C" w:rsidRPr="0047133C">
          <w:rPr>
            <w:rStyle w:val="a7"/>
            <w:rFonts w:ascii="Times New Roman" w:hAnsi="Times New Roman"/>
            <w:noProof/>
            <w:sz w:val="24"/>
            <w:szCs w:val="24"/>
          </w:rPr>
          <w:t>Духовницкого муниципального</w:t>
        </w:r>
        <w:r w:rsidR="0047133C" w:rsidRPr="0047133C">
          <w:rPr>
            <w:rStyle w:val="a7"/>
            <w:rFonts w:ascii="Times New Roman" w:eastAsia="Times New Roman" w:hAnsi="Times New Roman"/>
            <w:bCs/>
            <w:noProof/>
            <w:sz w:val="24"/>
            <w:szCs w:val="24"/>
            <w:lang w:eastAsia="ar-SA"/>
          </w:rPr>
          <w:t xml:space="preserve"> района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_Toc468348829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12</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30" w:history="1">
        <w:r w:rsidR="0047133C" w:rsidRPr="0047133C">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7133C" w:rsidRPr="0047133C">
          <w:rPr>
            <w:webHidden/>
          </w:rPr>
          <w:tab/>
        </w:r>
        <w:r w:rsidRPr="0047133C">
          <w:rPr>
            <w:webHidden/>
          </w:rPr>
          <w:fldChar w:fldCharType="begin"/>
        </w:r>
        <w:r w:rsidR="0047133C" w:rsidRPr="0047133C">
          <w:rPr>
            <w:webHidden/>
          </w:rPr>
          <w:instrText xml:space="preserve"> PAGEREF _Toc468348830 \h </w:instrText>
        </w:r>
        <w:r w:rsidRPr="0047133C">
          <w:rPr>
            <w:webHidden/>
          </w:rPr>
        </w:r>
        <w:r w:rsidRPr="0047133C">
          <w:rPr>
            <w:webHidden/>
          </w:rPr>
          <w:fldChar w:fldCharType="separate"/>
        </w:r>
        <w:r w:rsidR="0047133C" w:rsidRPr="0047133C">
          <w:rPr>
            <w:webHidden/>
          </w:rPr>
          <w:t>13</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1" w:history="1">
        <w:r w:rsidR="0047133C" w:rsidRPr="0047133C">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_Toc468348831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13</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2" w:history="1">
        <w:r w:rsidR="0047133C" w:rsidRPr="0047133C">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_Toc468348832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14</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3" w:history="1">
        <w:r w:rsidR="0047133C" w:rsidRPr="0047133C">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_Toc468348833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15</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34" w:history="1">
        <w:r w:rsidR="0047133C" w:rsidRPr="0047133C">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47133C" w:rsidRPr="0047133C">
          <w:rPr>
            <w:webHidden/>
          </w:rPr>
          <w:tab/>
        </w:r>
        <w:r w:rsidRPr="0047133C">
          <w:rPr>
            <w:webHidden/>
          </w:rPr>
          <w:fldChar w:fldCharType="begin"/>
        </w:r>
        <w:r w:rsidR="0047133C" w:rsidRPr="0047133C">
          <w:rPr>
            <w:webHidden/>
          </w:rPr>
          <w:instrText xml:space="preserve"> PAGEREF _Toc468348834 \h </w:instrText>
        </w:r>
        <w:r w:rsidRPr="0047133C">
          <w:rPr>
            <w:webHidden/>
          </w:rPr>
        </w:r>
        <w:r w:rsidRPr="0047133C">
          <w:rPr>
            <w:webHidden/>
          </w:rPr>
          <w:fldChar w:fldCharType="separate"/>
        </w:r>
        <w:r w:rsidR="0047133C" w:rsidRPr="0047133C">
          <w:rPr>
            <w:webHidden/>
          </w:rPr>
          <w:t>15</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5" w:history="1">
        <w:r w:rsidR="0047133C" w:rsidRPr="0047133C">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_Toc468348835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15</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6" w:history="1">
        <w:r w:rsidR="0047133C" w:rsidRPr="0047133C">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_Toc468348836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16</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7" w:history="1">
        <w:r w:rsidR="0047133C" w:rsidRPr="0047133C">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_Toc468348837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18</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38" w:history="1">
        <w:r w:rsidR="0047133C" w:rsidRPr="0047133C">
          <w:rPr>
            <w:rStyle w:val="a7"/>
            <w:rFonts w:eastAsia="Times New Roman"/>
            <w:bCs/>
            <w:iCs/>
            <w:lang w:eastAsia="ar-SA"/>
          </w:rPr>
          <w:t>Глава 5. Положение о проведении публичных слушаний по вопросам землепользования и застройки</w:t>
        </w:r>
        <w:r w:rsidR="0047133C" w:rsidRPr="0047133C">
          <w:rPr>
            <w:webHidden/>
          </w:rPr>
          <w:tab/>
        </w:r>
        <w:r w:rsidRPr="0047133C">
          <w:rPr>
            <w:webHidden/>
          </w:rPr>
          <w:fldChar w:fldCharType="begin"/>
        </w:r>
        <w:r w:rsidR="0047133C" w:rsidRPr="0047133C">
          <w:rPr>
            <w:webHidden/>
          </w:rPr>
          <w:instrText xml:space="preserve"> PAGEREF _Toc468348838 \h </w:instrText>
        </w:r>
        <w:r w:rsidRPr="0047133C">
          <w:rPr>
            <w:webHidden/>
          </w:rPr>
        </w:r>
        <w:r w:rsidRPr="0047133C">
          <w:rPr>
            <w:webHidden/>
          </w:rPr>
          <w:fldChar w:fldCharType="separate"/>
        </w:r>
        <w:r w:rsidR="0047133C" w:rsidRPr="0047133C">
          <w:rPr>
            <w:webHidden/>
          </w:rPr>
          <w:t>19</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39" w:history="1">
        <w:r w:rsidR="0047133C" w:rsidRPr="0047133C">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_Toc468348839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19</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0" w:history="1">
        <w:r w:rsidR="0047133C" w:rsidRPr="0047133C">
          <w:rPr>
            <w:rStyle w:val="a7"/>
            <w:rFonts w:ascii="Times New Roman" w:eastAsia="Times New Roman" w:hAnsi="Times New Roman"/>
            <w:bCs/>
            <w:noProof/>
            <w:sz w:val="24"/>
            <w:szCs w:val="24"/>
            <w:lang w:eastAsia="ar-SA"/>
          </w:rPr>
          <w:t>Статья 14. Сроки проведения публичных слушаний</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_Toc468348840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19</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1" w:history="1">
        <w:r w:rsidR="0047133C" w:rsidRPr="0047133C">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_Toc468348841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20</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2" w:history="1">
        <w:r w:rsidR="0047133C" w:rsidRPr="0047133C">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_Toc468348842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20</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3" w:history="1">
        <w:r w:rsidR="0047133C" w:rsidRPr="0047133C">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_Toc468348843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21</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44" w:history="1">
        <w:r w:rsidR="0047133C" w:rsidRPr="0047133C">
          <w:rPr>
            <w:rStyle w:val="a7"/>
            <w:rFonts w:eastAsia="Times New Roman"/>
            <w:bCs/>
            <w:iCs/>
            <w:lang w:eastAsia="ar-SA"/>
          </w:rPr>
          <w:t>Глава 6. Положение о внесении изменений в Правила землепользования и застройки</w:t>
        </w:r>
        <w:r w:rsidR="0047133C" w:rsidRPr="0047133C">
          <w:rPr>
            <w:webHidden/>
          </w:rPr>
          <w:tab/>
        </w:r>
        <w:r w:rsidRPr="0047133C">
          <w:rPr>
            <w:webHidden/>
          </w:rPr>
          <w:fldChar w:fldCharType="begin"/>
        </w:r>
        <w:r w:rsidR="0047133C" w:rsidRPr="0047133C">
          <w:rPr>
            <w:webHidden/>
          </w:rPr>
          <w:instrText xml:space="preserve"> PAGEREF _Toc468348844 \h </w:instrText>
        </w:r>
        <w:r w:rsidRPr="0047133C">
          <w:rPr>
            <w:webHidden/>
          </w:rPr>
        </w:r>
        <w:r w:rsidRPr="0047133C">
          <w:rPr>
            <w:webHidden/>
          </w:rPr>
          <w:fldChar w:fldCharType="separate"/>
        </w:r>
        <w:r w:rsidR="0047133C" w:rsidRPr="0047133C">
          <w:rPr>
            <w:webHidden/>
          </w:rPr>
          <w:t>22</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5" w:history="1">
        <w:r w:rsidR="0047133C" w:rsidRPr="0047133C">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_Toc468348845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22</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6" w:history="1">
        <w:r w:rsidR="0047133C" w:rsidRPr="0047133C">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_Toc468348846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22</w:t>
        </w:r>
        <w:r w:rsidRPr="0047133C">
          <w:rPr>
            <w:rFonts w:ascii="Times New Roman" w:hAnsi="Times New Roman"/>
            <w:noProof/>
            <w:webHidden/>
            <w:sz w:val="24"/>
            <w:szCs w:val="24"/>
          </w:rPr>
          <w:fldChar w:fldCharType="end"/>
        </w:r>
      </w:hyperlink>
    </w:p>
    <w:p w:rsidR="0047133C" w:rsidRPr="0047133C" w:rsidRDefault="001C51A3">
      <w:pPr>
        <w:pStyle w:val="11"/>
        <w:rPr>
          <w:rFonts w:eastAsiaTheme="minorEastAsia"/>
          <w:b w:val="0"/>
          <w:bCs w:val="0"/>
        </w:rPr>
      </w:pPr>
      <w:hyperlink w:anchor="_Toc468348847" w:history="1">
        <w:r w:rsidR="0047133C" w:rsidRPr="0047133C">
          <w:rPr>
            <w:rStyle w:val="a7"/>
            <w:caps/>
            <w:kern w:val="32"/>
            <w:lang w:eastAsia="ar-SA"/>
          </w:rPr>
          <w:t>Часть II. Карта градостроительного зонирования. Градостроительные регламенты</w:t>
        </w:r>
        <w:r w:rsidR="0047133C" w:rsidRPr="0047133C">
          <w:rPr>
            <w:webHidden/>
          </w:rPr>
          <w:tab/>
        </w:r>
        <w:r w:rsidRPr="0047133C">
          <w:rPr>
            <w:webHidden/>
          </w:rPr>
          <w:fldChar w:fldCharType="begin"/>
        </w:r>
        <w:r w:rsidR="0047133C" w:rsidRPr="0047133C">
          <w:rPr>
            <w:webHidden/>
          </w:rPr>
          <w:instrText xml:space="preserve"> PAGEREF _Toc468348847 \h </w:instrText>
        </w:r>
        <w:r w:rsidRPr="0047133C">
          <w:rPr>
            <w:webHidden/>
          </w:rPr>
        </w:r>
        <w:r w:rsidRPr="0047133C">
          <w:rPr>
            <w:webHidden/>
          </w:rPr>
          <w:fldChar w:fldCharType="separate"/>
        </w:r>
        <w:r w:rsidR="0047133C" w:rsidRPr="0047133C">
          <w:rPr>
            <w:webHidden/>
          </w:rPr>
          <w:t>25</w:t>
        </w:r>
        <w:r w:rsidRPr="0047133C">
          <w:rPr>
            <w:webHidden/>
          </w:rPr>
          <w:fldChar w:fldCharType="end"/>
        </w:r>
      </w:hyperlink>
    </w:p>
    <w:p w:rsidR="0047133C" w:rsidRPr="0047133C" w:rsidRDefault="001C51A3">
      <w:pPr>
        <w:pStyle w:val="21"/>
        <w:rPr>
          <w:rFonts w:eastAsiaTheme="minorEastAsia"/>
          <w:b w:val="0"/>
          <w:i w:val="0"/>
          <w:lang w:eastAsia="ru-RU"/>
        </w:rPr>
      </w:pPr>
      <w:hyperlink w:anchor="_Toc468348848" w:history="1">
        <w:r w:rsidR="0047133C" w:rsidRPr="0047133C">
          <w:rPr>
            <w:rStyle w:val="a7"/>
            <w:rFonts w:eastAsia="Times New Roman"/>
            <w:bCs/>
            <w:iCs/>
            <w:lang w:eastAsia="ar-SA"/>
          </w:rPr>
          <w:t>Глава 7. Градостроительное зонирование</w:t>
        </w:r>
        <w:r w:rsidR="0047133C" w:rsidRPr="0047133C">
          <w:rPr>
            <w:webHidden/>
          </w:rPr>
          <w:tab/>
        </w:r>
        <w:r w:rsidRPr="0047133C">
          <w:rPr>
            <w:webHidden/>
          </w:rPr>
          <w:fldChar w:fldCharType="begin"/>
        </w:r>
        <w:r w:rsidR="0047133C" w:rsidRPr="0047133C">
          <w:rPr>
            <w:webHidden/>
          </w:rPr>
          <w:instrText xml:space="preserve"> PAGEREF _Toc468348848 \h </w:instrText>
        </w:r>
        <w:r w:rsidRPr="0047133C">
          <w:rPr>
            <w:webHidden/>
          </w:rPr>
        </w:r>
        <w:r w:rsidRPr="0047133C">
          <w:rPr>
            <w:webHidden/>
          </w:rPr>
          <w:fldChar w:fldCharType="separate"/>
        </w:r>
        <w:r w:rsidR="0047133C" w:rsidRPr="0047133C">
          <w:rPr>
            <w:webHidden/>
          </w:rPr>
          <w:t>25</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49" w:history="1">
        <w:r w:rsidR="0047133C" w:rsidRPr="0047133C">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47133C" w:rsidRPr="0047133C">
          <w:rPr>
            <w:rStyle w:val="a7"/>
            <w:rFonts w:ascii="Times New Roman" w:hAnsi="Times New Roman"/>
            <w:noProof/>
            <w:sz w:val="24"/>
            <w:szCs w:val="24"/>
          </w:rPr>
          <w:t>Брыковского муниципального образования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_Toc468348849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25</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0" w:history="1">
        <w:r w:rsidR="0047133C" w:rsidRPr="0047133C">
          <w:rPr>
            <w:rStyle w:val="a7"/>
            <w:rFonts w:ascii="Times New Roman" w:eastAsia="Times New Roman" w:hAnsi="Times New Roman"/>
            <w:bCs/>
            <w:noProof/>
            <w:sz w:val="24"/>
            <w:szCs w:val="24"/>
            <w:lang w:eastAsia="ar-SA"/>
          </w:rPr>
          <w:t>Статья 21. Порядок установления территориальных зон</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_Toc468348850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25</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1" w:history="1">
        <w:r w:rsidR="0047133C" w:rsidRPr="0047133C">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47133C" w:rsidRPr="0047133C">
          <w:rPr>
            <w:rStyle w:val="a7"/>
            <w:rFonts w:ascii="Times New Roman" w:hAnsi="Times New Roman"/>
            <w:noProof/>
            <w:sz w:val="24"/>
            <w:szCs w:val="24"/>
          </w:rPr>
          <w:t>Брыковского муниципального образования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_Toc468348851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25</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2" w:history="1">
        <w:r w:rsidR="0047133C" w:rsidRPr="0047133C">
          <w:rPr>
            <w:rStyle w:val="a7"/>
            <w:rFonts w:ascii="Times New Roman" w:eastAsia="Times New Roman" w:hAnsi="Times New Roman"/>
            <w:bCs/>
            <w:noProof/>
            <w:sz w:val="24"/>
            <w:szCs w:val="24"/>
            <w:lang w:eastAsia="ar-SA"/>
          </w:rPr>
          <w:t>Статья 23. Линии градостроительного регулирования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_Toc468348852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26</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53" w:history="1">
        <w:r w:rsidR="0047133C" w:rsidRPr="0047133C">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47133C" w:rsidRPr="0047133C">
          <w:rPr>
            <w:webHidden/>
          </w:rPr>
          <w:tab/>
        </w:r>
        <w:r w:rsidRPr="0047133C">
          <w:rPr>
            <w:webHidden/>
          </w:rPr>
          <w:fldChar w:fldCharType="begin"/>
        </w:r>
        <w:r w:rsidR="0047133C" w:rsidRPr="0047133C">
          <w:rPr>
            <w:webHidden/>
          </w:rPr>
          <w:instrText xml:space="preserve"> PAGEREF _Toc468348853 \h </w:instrText>
        </w:r>
        <w:r w:rsidRPr="0047133C">
          <w:rPr>
            <w:webHidden/>
          </w:rPr>
        </w:r>
        <w:r w:rsidRPr="0047133C">
          <w:rPr>
            <w:webHidden/>
          </w:rPr>
          <w:fldChar w:fldCharType="separate"/>
        </w:r>
        <w:r w:rsidR="0047133C" w:rsidRPr="0047133C">
          <w:rPr>
            <w:webHidden/>
          </w:rPr>
          <w:t>26</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4" w:history="1">
        <w:r w:rsidR="0047133C" w:rsidRPr="0047133C">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_Toc468348854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26</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5" w:history="1">
        <w:r w:rsidR="0047133C" w:rsidRPr="0047133C">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_Toc468348855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27</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6" w:history="1">
        <w:r w:rsidR="0047133C" w:rsidRPr="0047133C">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_Toc468348856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29</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7" w:history="1">
        <w:r w:rsidR="0047133C" w:rsidRPr="0047133C">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_Toc468348857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30</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8" w:history="1">
        <w:r w:rsidR="0047133C" w:rsidRPr="0047133C">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_Toc468348858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33</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59" w:history="1">
        <w:r w:rsidR="0047133C" w:rsidRPr="0047133C">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_Toc468348859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45</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0" w:history="1">
        <w:r w:rsidR="0047133C" w:rsidRPr="0047133C">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_Toc468348860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47</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1" w:history="1">
        <w:r w:rsidR="0047133C" w:rsidRPr="0047133C">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_Toc468348861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49</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2" w:history="1">
        <w:r w:rsidR="0047133C" w:rsidRPr="0047133C">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_Toc468348862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51</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3" w:history="1">
        <w:r w:rsidR="0047133C" w:rsidRPr="0047133C">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_Toc468348863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52</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4" w:history="1">
        <w:r w:rsidR="0047133C" w:rsidRPr="0047133C">
          <w:rPr>
            <w:rStyle w:val="a7"/>
            <w:rFonts w:ascii="Times New Roman" w:eastAsia="Times New Roman" w:hAnsi="Times New Roman"/>
            <w:bCs/>
            <w:noProof/>
            <w:sz w:val="24"/>
            <w:szCs w:val="24"/>
            <w:lang w:eastAsia="ar-SA"/>
          </w:rPr>
          <w:t>Статья 34. Градостроительные регламенты прочих зон</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_Toc468348864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53</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65" w:history="1">
        <w:r w:rsidR="0047133C" w:rsidRPr="0047133C">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47133C" w:rsidRPr="0047133C">
          <w:rPr>
            <w:webHidden/>
          </w:rPr>
          <w:tab/>
        </w:r>
        <w:r w:rsidRPr="0047133C">
          <w:rPr>
            <w:webHidden/>
          </w:rPr>
          <w:fldChar w:fldCharType="begin"/>
        </w:r>
        <w:r w:rsidR="0047133C" w:rsidRPr="0047133C">
          <w:rPr>
            <w:webHidden/>
          </w:rPr>
          <w:instrText xml:space="preserve"> PAGEREF _Toc468348865 \h </w:instrText>
        </w:r>
        <w:r w:rsidRPr="0047133C">
          <w:rPr>
            <w:webHidden/>
          </w:rPr>
        </w:r>
        <w:r w:rsidRPr="0047133C">
          <w:rPr>
            <w:webHidden/>
          </w:rPr>
          <w:fldChar w:fldCharType="separate"/>
        </w:r>
        <w:r w:rsidR="0047133C" w:rsidRPr="0047133C">
          <w:rPr>
            <w:webHidden/>
          </w:rPr>
          <w:t>53</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6" w:history="1">
        <w:r w:rsidR="0047133C" w:rsidRPr="0047133C">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_Toc468348866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53</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67" w:history="1">
        <w:r w:rsidR="0047133C" w:rsidRPr="0047133C">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_Toc468348867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54</w:t>
        </w:r>
        <w:r w:rsidRPr="0047133C">
          <w:rPr>
            <w:rFonts w:ascii="Times New Roman" w:hAnsi="Times New Roman"/>
            <w:noProof/>
            <w:webHidden/>
            <w:sz w:val="24"/>
            <w:szCs w:val="24"/>
          </w:rPr>
          <w:fldChar w:fldCharType="end"/>
        </w:r>
      </w:hyperlink>
    </w:p>
    <w:p w:rsidR="0047133C" w:rsidRPr="0047133C" w:rsidRDefault="001C51A3">
      <w:pPr>
        <w:pStyle w:val="11"/>
        <w:rPr>
          <w:rFonts w:eastAsiaTheme="minorEastAsia"/>
          <w:b w:val="0"/>
          <w:bCs w:val="0"/>
        </w:rPr>
      </w:pPr>
      <w:hyperlink w:anchor="_Toc468348868" w:history="1">
        <w:r w:rsidR="0047133C" w:rsidRPr="0047133C">
          <w:rPr>
            <w:rStyle w:val="a7"/>
            <w:caps/>
          </w:rPr>
          <w:t>Часть III. Иные вопросы землепользования и застройки Брыковскогомуниципального образования</w:t>
        </w:r>
        <w:r w:rsidR="0047133C" w:rsidRPr="0047133C">
          <w:rPr>
            <w:webHidden/>
          </w:rPr>
          <w:tab/>
        </w:r>
        <w:r w:rsidRPr="0047133C">
          <w:rPr>
            <w:webHidden/>
          </w:rPr>
          <w:fldChar w:fldCharType="begin"/>
        </w:r>
        <w:r w:rsidR="0047133C" w:rsidRPr="0047133C">
          <w:rPr>
            <w:webHidden/>
          </w:rPr>
          <w:instrText xml:space="preserve"> PAGEREF _Toc468348868 \h </w:instrText>
        </w:r>
        <w:r w:rsidRPr="0047133C">
          <w:rPr>
            <w:webHidden/>
          </w:rPr>
        </w:r>
        <w:r w:rsidRPr="0047133C">
          <w:rPr>
            <w:webHidden/>
          </w:rPr>
          <w:fldChar w:fldCharType="separate"/>
        </w:r>
        <w:r w:rsidR="0047133C" w:rsidRPr="0047133C">
          <w:rPr>
            <w:webHidden/>
          </w:rPr>
          <w:t>56</w:t>
        </w:r>
        <w:r w:rsidRPr="0047133C">
          <w:rPr>
            <w:webHidden/>
          </w:rPr>
          <w:fldChar w:fldCharType="end"/>
        </w:r>
      </w:hyperlink>
    </w:p>
    <w:p w:rsidR="0047133C" w:rsidRPr="0047133C" w:rsidRDefault="001C51A3">
      <w:pPr>
        <w:pStyle w:val="21"/>
        <w:rPr>
          <w:rFonts w:eastAsiaTheme="minorEastAsia"/>
          <w:b w:val="0"/>
          <w:i w:val="0"/>
          <w:lang w:eastAsia="ru-RU"/>
        </w:rPr>
      </w:pPr>
      <w:hyperlink w:anchor="_Toc468348869" w:history="1">
        <w:r w:rsidR="0047133C" w:rsidRPr="0047133C">
          <w:rPr>
            <w:rStyle w:val="a7"/>
            <w:rFonts w:eastAsia="Times New Roman"/>
            <w:bCs/>
            <w:iCs/>
            <w:lang w:eastAsia="ar-SA"/>
          </w:rPr>
          <w:t>Глава 10. Регулирование землепользования и застройки на территории Брыковскогомуниципального образования</w:t>
        </w:r>
        <w:r w:rsidR="0047133C" w:rsidRPr="0047133C">
          <w:rPr>
            <w:webHidden/>
          </w:rPr>
          <w:tab/>
        </w:r>
        <w:r w:rsidRPr="0047133C">
          <w:rPr>
            <w:webHidden/>
          </w:rPr>
          <w:fldChar w:fldCharType="begin"/>
        </w:r>
        <w:r w:rsidR="0047133C" w:rsidRPr="0047133C">
          <w:rPr>
            <w:webHidden/>
          </w:rPr>
          <w:instrText xml:space="preserve"> PAGEREF _Toc468348869 \h </w:instrText>
        </w:r>
        <w:r w:rsidRPr="0047133C">
          <w:rPr>
            <w:webHidden/>
          </w:rPr>
        </w:r>
        <w:r w:rsidRPr="0047133C">
          <w:rPr>
            <w:webHidden/>
          </w:rPr>
          <w:fldChar w:fldCharType="separate"/>
        </w:r>
        <w:r w:rsidR="0047133C" w:rsidRPr="0047133C">
          <w:rPr>
            <w:webHidden/>
          </w:rPr>
          <w:t>56</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0" w:history="1">
        <w:r w:rsidR="0047133C" w:rsidRPr="0047133C">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47133C" w:rsidRPr="0047133C">
          <w:rPr>
            <w:rStyle w:val="a7"/>
            <w:rFonts w:ascii="Times New Roman" w:hAnsi="Times New Roman"/>
            <w:noProof/>
            <w:sz w:val="24"/>
            <w:szCs w:val="24"/>
          </w:rPr>
          <w:t>Брыковского муниципального образования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_Toc468348870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56</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1" w:history="1">
        <w:r w:rsidR="0047133C" w:rsidRPr="0047133C">
          <w:rPr>
            <w:rStyle w:val="a7"/>
            <w:rFonts w:ascii="Times New Roman" w:eastAsia="Times New Roman" w:hAnsi="Times New Roman"/>
            <w:bCs/>
            <w:noProof/>
            <w:sz w:val="24"/>
            <w:szCs w:val="24"/>
            <w:lang w:eastAsia="ar-SA"/>
          </w:rPr>
          <w:t>Статья 38. Публичный сервитут</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_Toc468348871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57</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2" w:history="1">
        <w:r w:rsidR="0047133C" w:rsidRPr="0047133C">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_Toc468348872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58</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3" w:history="1">
        <w:r w:rsidR="0047133C" w:rsidRPr="0047133C">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_Toc468348873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59</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4" w:history="1">
        <w:r w:rsidR="0047133C" w:rsidRPr="0047133C">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_Toc468348874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60</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5" w:history="1">
        <w:r w:rsidR="0047133C" w:rsidRPr="0047133C">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_Toc468348875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61</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6" w:history="1">
        <w:r w:rsidR="0047133C" w:rsidRPr="0047133C">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_Toc468348876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64</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7" w:history="1">
        <w:r w:rsidR="0047133C" w:rsidRPr="0047133C">
          <w:rPr>
            <w:rStyle w:val="a7"/>
            <w:rFonts w:ascii="Times New Roman" w:eastAsia="Times New Roman" w:hAnsi="Times New Roman"/>
            <w:bCs/>
            <w:noProof/>
            <w:sz w:val="24"/>
            <w:szCs w:val="24"/>
            <w:lang w:eastAsia="ar-SA"/>
          </w:rPr>
          <w:t>Статья 44. Выдача разрешения на строительство</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_Toc468348877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66</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8" w:history="1">
        <w:r w:rsidR="0047133C" w:rsidRPr="0047133C">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_Toc468348878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69</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79" w:history="1">
        <w:r w:rsidR="0047133C" w:rsidRPr="0047133C">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_Toc468348879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69</w:t>
        </w:r>
        <w:r w:rsidRPr="0047133C">
          <w:rPr>
            <w:rFonts w:ascii="Times New Roman" w:hAnsi="Times New Roman"/>
            <w:noProof/>
            <w:webHidden/>
            <w:sz w:val="24"/>
            <w:szCs w:val="24"/>
          </w:rPr>
          <w:fldChar w:fldCharType="end"/>
        </w:r>
      </w:hyperlink>
    </w:p>
    <w:p w:rsidR="0047133C" w:rsidRPr="0047133C" w:rsidRDefault="001C51A3">
      <w:pPr>
        <w:pStyle w:val="21"/>
        <w:rPr>
          <w:rFonts w:eastAsiaTheme="minorEastAsia"/>
          <w:b w:val="0"/>
          <w:i w:val="0"/>
          <w:lang w:eastAsia="ru-RU"/>
        </w:rPr>
      </w:pPr>
      <w:hyperlink w:anchor="_Toc468348880" w:history="1">
        <w:r w:rsidR="0047133C" w:rsidRPr="0047133C">
          <w:rPr>
            <w:rStyle w:val="a7"/>
            <w:rFonts w:eastAsia="Times New Roman"/>
            <w:bCs/>
            <w:iCs/>
            <w:lang w:eastAsia="ar-SA"/>
          </w:rPr>
          <w:t>Глава 11. Заключительные положения</w:t>
        </w:r>
        <w:r w:rsidR="0047133C" w:rsidRPr="0047133C">
          <w:rPr>
            <w:webHidden/>
          </w:rPr>
          <w:tab/>
        </w:r>
        <w:r w:rsidRPr="0047133C">
          <w:rPr>
            <w:webHidden/>
          </w:rPr>
          <w:fldChar w:fldCharType="begin"/>
        </w:r>
        <w:r w:rsidR="0047133C" w:rsidRPr="0047133C">
          <w:rPr>
            <w:webHidden/>
          </w:rPr>
          <w:instrText xml:space="preserve"> PAGEREF _Toc468348880 \h </w:instrText>
        </w:r>
        <w:r w:rsidRPr="0047133C">
          <w:rPr>
            <w:webHidden/>
          </w:rPr>
        </w:r>
        <w:r w:rsidRPr="0047133C">
          <w:rPr>
            <w:webHidden/>
          </w:rPr>
          <w:fldChar w:fldCharType="separate"/>
        </w:r>
        <w:r w:rsidR="0047133C" w:rsidRPr="0047133C">
          <w:rPr>
            <w:webHidden/>
          </w:rPr>
          <w:t>73</w:t>
        </w:r>
        <w:r w:rsidRPr="0047133C">
          <w:rPr>
            <w:webHidden/>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81" w:history="1">
        <w:r w:rsidR="0047133C" w:rsidRPr="0047133C">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_Toc468348881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73</w:t>
        </w:r>
        <w:r w:rsidRPr="0047133C">
          <w:rPr>
            <w:rFonts w:ascii="Times New Roman" w:hAnsi="Times New Roman"/>
            <w:noProof/>
            <w:webHidden/>
            <w:sz w:val="24"/>
            <w:szCs w:val="24"/>
          </w:rPr>
          <w:fldChar w:fldCharType="end"/>
        </w:r>
      </w:hyperlink>
    </w:p>
    <w:p w:rsidR="0047133C" w:rsidRPr="0047133C" w:rsidRDefault="001C51A3">
      <w:pPr>
        <w:pStyle w:val="31"/>
        <w:rPr>
          <w:rFonts w:ascii="Times New Roman" w:eastAsiaTheme="minorEastAsia" w:hAnsi="Times New Roman"/>
          <w:noProof/>
          <w:sz w:val="24"/>
          <w:szCs w:val="24"/>
          <w:lang w:eastAsia="ru-RU"/>
        </w:rPr>
      </w:pPr>
      <w:hyperlink w:anchor="_Toc468348882" w:history="1">
        <w:r w:rsidR="0047133C" w:rsidRPr="0047133C">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47133C" w:rsidRPr="0047133C">
          <w:rPr>
            <w:rFonts w:ascii="Times New Roman" w:hAnsi="Times New Roman"/>
            <w:noProof/>
            <w:webHidden/>
            <w:sz w:val="24"/>
            <w:szCs w:val="24"/>
          </w:rPr>
          <w:tab/>
        </w:r>
        <w:r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_Toc468348882 \h </w:instrText>
        </w:r>
        <w:r w:rsidRPr="0047133C">
          <w:rPr>
            <w:rFonts w:ascii="Times New Roman" w:hAnsi="Times New Roman"/>
            <w:noProof/>
            <w:webHidden/>
            <w:sz w:val="24"/>
            <w:szCs w:val="24"/>
          </w:rPr>
        </w:r>
        <w:r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73</w:t>
        </w:r>
        <w:r w:rsidRPr="0047133C">
          <w:rPr>
            <w:rFonts w:ascii="Times New Roman" w:hAnsi="Times New Roman"/>
            <w:noProof/>
            <w:webHidden/>
            <w:sz w:val="24"/>
            <w:szCs w:val="24"/>
          </w:rPr>
          <w:fldChar w:fldCharType="end"/>
        </w:r>
      </w:hyperlink>
    </w:p>
    <w:p w:rsidR="0047133C" w:rsidRPr="0047133C" w:rsidRDefault="001C51A3">
      <w:pPr>
        <w:pStyle w:val="11"/>
        <w:rPr>
          <w:rFonts w:eastAsiaTheme="minorEastAsia"/>
          <w:b w:val="0"/>
          <w:bCs w:val="0"/>
        </w:rPr>
      </w:pPr>
      <w:hyperlink w:anchor="_Toc468348883" w:history="1">
        <w:r w:rsidR="0047133C" w:rsidRPr="0047133C">
          <w:rPr>
            <w:rStyle w:val="a7"/>
            <w:caps/>
          </w:rPr>
          <w:t>Приложение</w:t>
        </w:r>
        <w:r w:rsidR="0047133C" w:rsidRPr="0047133C">
          <w:rPr>
            <w:webHidden/>
          </w:rPr>
          <w:tab/>
        </w:r>
        <w:r w:rsidRPr="0047133C">
          <w:rPr>
            <w:webHidden/>
          </w:rPr>
          <w:fldChar w:fldCharType="begin"/>
        </w:r>
        <w:r w:rsidR="0047133C" w:rsidRPr="0047133C">
          <w:rPr>
            <w:webHidden/>
          </w:rPr>
          <w:instrText xml:space="preserve"> PAGEREF _Toc468348883 \h </w:instrText>
        </w:r>
        <w:r w:rsidRPr="0047133C">
          <w:rPr>
            <w:webHidden/>
          </w:rPr>
        </w:r>
        <w:r w:rsidRPr="0047133C">
          <w:rPr>
            <w:webHidden/>
          </w:rPr>
          <w:fldChar w:fldCharType="separate"/>
        </w:r>
        <w:r w:rsidR="0047133C" w:rsidRPr="0047133C">
          <w:rPr>
            <w:webHidden/>
          </w:rPr>
          <w:t>74</w:t>
        </w:r>
        <w:r w:rsidRPr="0047133C">
          <w:rPr>
            <w:webHidden/>
          </w:rPr>
          <w:fldChar w:fldCharType="end"/>
        </w:r>
      </w:hyperlink>
    </w:p>
    <w:p w:rsidR="0047133C" w:rsidRPr="0047133C" w:rsidRDefault="001C51A3">
      <w:pPr>
        <w:pStyle w:val="21"/>
        <w:rPr>
          <w:rFonts w:eastAsiaTheme="minorEastAsia"/>
          <w:b w:val="0"/>
          <w:i w:val="0"/>
          <w:lang w:eastAsia="ru-RU"/>
        </w:rPr>
      </w:pPr>
      <w:hyperlink w:anchor="_Toc468348884" w:history="1">
        <w:r w:rsidR="0047133C" w:rsidRPr="0047133C">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47133C" w:rsidRPr="0047133C">
          <w:rPr>
            <w:webHidden/>
          </w:rPr>
          <w:tab/>
        </w:r>
        <w:r w:rsidRPr="0047133C">
          <w:rPr>
            <w:webHidden/>
          </w:rPr>
          <w:fldChar w:fldCharType="begin"/>
        </w:r>
        <w:r w:rsidR="0047133C" w:rsidRPr="0047133C">
          <w:rPr>
            <w:webHidden/>
          </w:rPr>
          <w:instrText xml:space="preserve"> PAGEREF _Toc468348884 \h </w:instrText>
        </w:r>
        <w:r w:rsidRPr="0047133C">
          <w:rPr>
            <w:webHidden/>
          </w:rPr>
        </w:r>
        <w:r w:rsidRPr="0047133C">
          <w:rPr>
            <w:webHidden/>
          </w:rPr>
          <w:fldChar w:fldCharType="separate"/>
        </w:r>
        <w:r w:rsidR="0047133C" w:rsidRPr="0047133C">
          <w:rPr>
            <w:webHidden/>
          </w:rPr>
          <w:t>74</w:t>
        </w:r>
        <w:r w:rsidRPr="0047133C">
          <w:rPr>
            <w:webHidden/>
          </w:rPr>
          <w:fldChar w:fldCharType="end"/>
        </w:r>
      </w:hyperlink>
    </w:p>
    <w:p w:rsidR="004C6C6D" w:rsidRPr="000E39DF" w:rsidRDefault="001C51A3"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47133C">
        <w:rPr>
          <w:rFonts w:ascii="Times New Roman" w:hAnsi="Times New Roman" w:cs="Times New Roman"/>
          <w:sz w:val="24"/>
          <w:szCs w:val="24"/>
        </w:rPr>
        <w:fldChar w:fldCharType="end"/>
      </w:r>
      <w:bookmarkStart w:id="1" w:name="_Toc312188772"/>
      <w:bookmarkStart w:id="2" w:name="_Toc429415657"/>
      <w:bookmarkStart w:id="3" w:name="_Toc468348821"/>
      <w:r w:rsidR="004C6C6D"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004C6C6D"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48822"/>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48823"/>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47133C">
        <w:rPr>
          <w:lang w:val="ru-RU"/>
        </w:rPr>
        <w:t>Брыковского</w:t>
      </w:r>
      <w:r w:rsidR="006B1BCD" w:rsidRPr="000E39DF">
        <w:rPr>
          <w:lang w:val="ru-RU"/>
        </w:rPr>
        <w:t xml:space="preserve"> муниципального образования</w:t>
      </w:r>
      <w:r w:rsidR="008A455B">
        <w:rPr>
          <w:lang w:val="ru-RU"/>
        </w:rPr>
        <w:t>Духовницкого</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47133C">
        <w:rPr>
          <w:lang w:val="ru-RU"/>
        </w:rPr>
        <w:t>Брыковского</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47133C">
        <w:rPr>
          <w:lang w:val="ru-RU"/>
        </w:rPr>
        <w:t>Брыковского</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47133C">
        <w:rPr>
          <w:lang w:val="ru-RU"/>
        </w:rPr>
        <w:t>Брыковского</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48824"/>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w:t>
      </w:r>
      <w:r w:rsidRPr="000E39DF">
        <w:rPr>
          <w:lang w:val="ru-RU"/>
        </w:rPr>
        <w:lastRenderedPageBreak/>
        <w:t>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48825"/>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47133C">
        <w:rPr>
          <w:lang w:val="ru-RU"/>
        </w:rPr>
        <w:t>Брыковского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занятыелинейнымиобъектами;</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особоохраняемыхприродныхтерриторий.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48826"/>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lastRenderedPageBreak/>
        <w:t xml:space="preserve">2. Администрация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48827"/>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48828"/>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47133C">
        <w:rPr>
          <w:lang w:val="ru-RU"/>
        </w:rPr>
        <w:t>Брыковского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lastRenderedPageBreak/>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48829"/>
      <w:r w:rsidRPr="000E39DF">
        <w:rPr>
          <w:rFonts w:eastAsia="Times New Roman" w:cs="Times New Roman"/>
          <w:bCs/>
          <w:lang w:eastAsia="ar-SA"/>
        </w:rPr>
        <w:t xml:space="preserve">Статья 6. Комиссия по подготовке правил землепользования и застройки </w:t>
      </w:r>
      <w:r w:rsidR="008A455B">
        <w:t>Духовницкого</w:t>
      </w:r>
      <w:r w:rsidR="000E39DF" w:rsidRPr="000E39DF">
        <w:rPr>
          <w:rFonts w:cs="Times New Roman"/>
        </w:rPr>
        <w:t>муниципального</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48830"/>
      <w:r w:rsidRPr="000E39DF">
        <w:rPr>
          <w:rFonts w:ascii="Times New Roman" w:eastAsia="Times New Roman" w:hAnsi="Times New Roman" w:cs="Times New Roman"/>
          <w:b/>
          <w:bCs/>
          <w:i/>
          <w:iCs/>
          <w:color w:val="auto"/>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48831"/>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48832"/>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w:t>
      </w:r>
      <w:r w:rsidRPr="000E39DF">
        <w:rPr>
          <w:lang w:val="ru-RU"/>
        </w:rPr>
        <w:lastRenderedPageBreak/>
        <w:t>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48833"/>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w:t>
      </w:r>
      <w:r w:rsidRPr="000E39DF">
        <w:rPr>
          <w:lang w:val="ru-RU"/>
        </w:rPr>
        <w:lastRenderedPageBreak/>
        <w:t>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48834"/>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48835"/>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47133C">
        <w:rPr>
          <w:lang w:val="ru-RU"/>
        </w:rPr>
        <w:t>Брыковского</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lastRenderedPageBreak/>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48836"/>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47133C">
        <w:rPr>
          <w:lang w:val="ru-RU"/>
        </w:rPr>
        <w:t>Брыковского</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 xml:space="preserve">8. 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0E39DF">
        <w:rPr>
          <w:lang w:val="ru-RU"/>
        </w:rPr>
        <w:lastRenderedPageBreak/>
        <w:t>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48837"/>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lastRenderedPageBreak/>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48838"/>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48839"/>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47133C">
        <w:rPr>
          <w:lang w:val="ru-RU"/>
        </w:rPr>
        <w:t>Брыковского</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lastRenderedPageBreak/>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47133C">
        <w:rPr>
          <w:lang w:val="ru-RU"/>
        </w:rPr>
        <w:t>Брыковского</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47133C">
        <w:rPr>
          <w:lang w:val="ru-RU"/>
        </w:rPr>
        <w:t>Брыковского</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48840"/>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47133C">
        <w:rPr>
          <w:lang w:val="ru-RU"/>
        </w:rPr>
        <w:t>Брыковского</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47133C">
        <w:rPr>
          <w:lang w:val="ru-RU"/>
        </w:rPr>
        <w:t>Брыковского</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48841"/>
      <w:r w:rsidRPr="000E39DF">
        <w:rPr>
          <w:rFonts w:eastAsia="Times New Roman" w:cs="Times New Roman"/>
          <w:bCs/>
          <w:lang w:eastAsia="ar-SA"/>
        </w:rPr>
        <w:lastRenderedPageBreak/>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48842"/>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 xml:space="preserve">3. Комиссия направляет письменные сообщения о проведении публичных слушаний по вопросу предоставления соответствующего разрешения правообладателям </w:t>
      </w:r>
      <w:r w:rsidRPr="000E39DF">
        <w:rPr>
          <w:lang w:val="ru-RU"/>
        </w:rPr>
        <w:lastRenderedPageBreak/>
        <w:t>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7133C">
        <w:rPr>
          <w:lang w:val="ru-RU"/>
        </w:rPr>
        <w:t>Брыковского</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47133C">
        <w:rPr>
          <w:lang w:val="ru-RU"/>
        </w:rPr>
        <w:t>Брыковского</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48843"/>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48844"/>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lastRenderedPageBreak/>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48845"/>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47133C">
        <w:rPr>
          <w:lang w:val="ru-RU"/>
        </w:rPr>
        <w:t>Брыковского</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8A455B">
        <w:rPr>
          <w:lang w:val="ru-RU"/>
        </w:rPr>
        <w:t>Духовницкого</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47133C">
        <w:rPr>
          <w:lang w:val="ru-RU"/>
        </w:rPr>
        <w:t>Брыковского</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48846"/>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0E39DF" w:rsidRPr="000E39DF">
        <w:rPr>
          <w:lang w:val="ru-RU"/>
        </w:rPr>
        <w:t xml:space="preserve">муниципального </w:t>
      </w:r>
      <w:r w:rsidRPr="000E39DF">
        <w:rPr>
          <w:lang w:val="ru-RU"/>
        </w:rPr>
        <w:t xml:space="preserve">района Саратовской области, Уставом </w:t>
      </w:r>
      <w:r w:rsidR="0047133C">
        <w:rPr>
          <w:lang w:val="ru-RU"/>
        </w:rPr>
        <w:t>Брыковского</w:t>
      </w:r>
      <w:r w:rsidR="000E39DF" w:rsidRPr="000E39DF">
        <w:rPr>
          <w:lang w:val="ru-RU"/>
        </w:rPr>
        <w:t xml:space="preserve">муниципального образования </w:t>
      </w:r>
      <w:r w:rsidR="008A455B">
        <w:rPr>
          <w:lang w:val="ru-RU"/>
        </w:rPr>
        <w:t>Духовницкого</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0E39DF" w:rsidRPr="000E39DF">
        <w:rPr>
          <w:lang w:val="ru-RU"/>
        </w:rPr>
        <w:t xml:space="preserve">муниципального </w:t>
      </w:r>
      <w:r w:rsidRPr="000E39DF">
        <w:rPr>
          <w:lang w:val="ru-RU"/>
        </w:rPr>
        <w:t xml:space="preserve">района. Предложения могут относиться к формулировкам </w:t>
      </w:r>
      <w:r w:rsidRPr="000E39DF">
        <w:rPr>
          <w:lang w:val="ru-RU"/>
        </w:rPr>
        <w:lastRenderedPageBreak/>
        <w:t>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48847"/>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48848"/>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48849"/>
      <w:r w:rsidRPr="000E39DF">
        <w:rPr>
          <w:rFonts w:eastAsia="Times New Roman" w:cs="Times New Roman"/>
          <w:bCs/>
          <w:lang w:eastAsia="ar-SA"/>
        </w:rPr>
        <w:t>Статья 20. Карта градостроительного зонирования</w:t>
      </w:r>
      <w:bookmarkEnd w:id="224"/>
      <w:bookmarkEnd w:id="225"/>
      <w:bookmarkEnd w:id="226"/>
      <w:bookmarkEnd w:id="227"/>
      <w:bookmarkEnd w:id="228"/>
      <w:bookmarkEnd w:id="229"/>
      <w:bookmarkEnd w:id="230"/>
      <w:bookmarkEnd w:id="231"/>
      <w:bookmarkEnd w:id="232"/>
      <w:bookmarkEnd w:id="233"/>
      <w:r w:rsidR="0047133C">
        <w:t>Брыковского</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47133C">
        <w:rPr>
          <w:lang w:val="ru-RU"/>
        </w:rPr>
        <w:t>Брыковского</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48850"/>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48851"/>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47133C">
        <w:t>Брыковского</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47133C">
        <w:rPr>
          <w:lang w:val="ru-RU"/>
        </w:rPr>
        <w:t>Брыковского</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47133C">
        <w:rPr>
          <w:lang w:val="ru-RU"/>
        </w:rPr>
        <w:t>Брыковского</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48852"/>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48853"/>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48854"/>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lastRenderedPageBreak/>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48855"/>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lastRenderedPageBreak/>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lastRenderedPageBreak/>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48856"/>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w:t>
      </w:r>
      <w:r w:rsidRPr="000E39DF">
        <w:rPr>
          <w:lang w:val="ru-RU"/>
        </w:rPr>
        <w:lastRenderedPageBreak/>
        <w:t>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48857"/>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lastRenderedPageBreak/>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 xml:space="preserve">Предельное количество этажей – для хозяйственных </w:t>
            </w:r>
            <w:r w:rsidR="00985A4B" w:rsidRPr="00985A4B">
              <w:rPr>
                <w:rFonts w:ascii="Times New Roman" w:hAnsi="Times New Roman" w:cs="Times New Roman"/>
                <w:color w:val="000000"/>
                <w:sz w:val="24"/>
                <w:szCs w:val="24"/>
              </w:rPr>
              <w:lastRenderedPageBreak/>
              <w:t>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68348858"/>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lastRenderedPageBreak/>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длина земельного участка, образованного </w:t>
            </w:r>
            <w:r w:rsidRPr="000F52CB">
              <w:rPr>
                <w:rFonts w:ascii="Times New Roman" w:hAnsi="Times New Roman" w:cs="Times New Roman"/>
                <w:color w:val="000000"/>
                <w:sz w:val="24"/>
                <w:szCs w:val="24"/>
              </w:rPr>
              <w:lastRenderedPageBreak/>
              <w:t>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3 м. </w:t>
            </w:r>
            <w:r w:rsidRPr="000F52CB">
              <w:rPr>
                <w:rFonts w:ascii="Times New Roman" w:hAnsi="Times New Roman" w:cs="Times New Roman"/>
                <w:color w:val="000000"/>
                <w:sz w:val="24"/>
                <w:szCs w:val="24"/>
              </w:rPr>
              <w:lastRenderedPageBreak/>
              <w:t>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Иные показатели - вместимость – до 300 машиномест.</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Предельные (минимальные и (или) максимальные) </w:t>
            </w:r>
            <w:r w:rsidRPr="00CC6F2F">
              <w:rPr>
                <w:rFonts w:ascii="Times New Roman" w:hAnsi="Times New Roman" w:cs="Times New Roman"/>
                <w:color w:val="000000"/>
                <w:sz w:val="24"/>
                <w:szCs w:val="24"/>
              </w:rPr>
              <w:lastRenderedPageBreak/>
              <w:t>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hAnsi="Times New Roman"/>
                <w:sz w:val="24"/>
                <w:szCs w:val="24"/>
              </w:rPr>
              <w:t>Выставочно-ярмарочная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 xml:space="preserve">Максимальный процент застройки в границах </w:t>
            </w:r>
            <w:r w:rsidRPr="004722A3">
              <w:rPr>
                <w:rFonts w:ascii="Times New Roman" w:hAnsi="Times New Roman" w:cs="Times New Roman"/>
                <w:color w:val="000000"/>
                <w:sz w:val="24"/>
                <w:szCs w:val="24"/>
              </w:rPr>
              <w:lastRenderedPageBreak/>
              <w:t>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lastRenderedPageBreak/>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lastRenderedPageBreak/>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68348859"/>
      <w:r w:rsidRPr="000E39DF">
        <w:rPr>
          <w:rFonts w:eastAsia="Times New Roman" w:cs="Times New Roman"/>
          <w:bCs/>
          <w:lang w:eastAsia="ar-SA"/>
        </w:rPr>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300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50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68348860"/>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 xml:space="preserve">Пищевая промышленность </w:t>
            </w:r>
            <w:r w:rsidRPr="00A758B7">
              <w:rPr>
                <w:rFonts w:ascii="Times New Roman" w:eastAsia="Times New Roman" w:hAnsi="Times New Roman"/>
                <w:sz w:val="24"/>
                <w:szCs w:val="24"/>
                <w:lang w:eastAsia="ru-RU"/>
              </w:rPr>
              <w:lastRenderedPageBreak/>
              <w:t>(6.4)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C4BA2" w:rsidRPr="00A758B7" w:rsidTr="00A758B7">
        <w:trPr>
          <w:trHeight w:val="70"/>
        </w:trPr>
        <w:tc>
          <w:tcPr>
            <w:tcW w:w="2660" w:type="dxa"/>
          </w:tcPr>
          <w:p w:rsidR="00AC4BA2" w:rsidRPr="00AC4BA2" w:rsidRDefault="00AC4BA2" w:rsidP="00A758B7">
            <w:pPr>
              <w:suppressAutoHyphens/>
              <w:spacing w:line="240" w:lineRule="auto"/>
              <w:jc w:val="both"/>
              <w:rPr>
                <w:rFonts w:ascii="Times New Roman" w:eastAsia="Times New Roman" w:hAnsi="Times New Roman"/>
                <w:color w:val="70AD47" w:themeColor="accent6"/>
                <w:sz w:val="24"/>
                <w:szCs w:val="24"/>
                <w:lang w:eastAsia="ru-RU"/>
              </w:rPr>
            </w:pPr>
            <w:bookmarkStart w:id="320" w:name="_GoBack" w:colFirst="0" w:colLast="0"/>
            <w:r w:rsidRPr="00AC4BA2">
              <w:rPr>
                <w:rFonts w:ascii="Times New Roman" w:eastAsia="Times New Roman" w:hAnsi="Times New Roman"/>
                <w:color w:val="70AD47" w:themeColor="accent6"/>
                <w:sz w:val="24"/>
                <w:szCs w:val="24"/>
                <w:lang w:eastAsia="ru-RU"/>
              </w:rPr>
              <w:t>Обеспечение сельскохозяйственного производства (1.18)</w:t>
            </w:r>
          </w:p>
        </w:tc>
        <w:tc>
          <w:tcPr>
            <w:tcW w:w="6549" w:type="dxa"/>
          </w:tcPr>
          <w:p w:rsidR="00AC4BA2" w:rsidRDefault="00AC4BA2" w:rsidP="00AC4BA2">
            <w:pPr>
              <w:pStyle w:val="ConsNormal"/>
              <w:widowControl/>
              <w:spacing w:before="0"/>
              <w:ind w:left="720" w:right="0" w:firstLine="0"/>
              <w:rPr>
                <w:rFonts w:ascii="Times New Roman" w:hAnsi="Times New Roman" w:cs="Times New Roman"/>
                <w:color w:val="000000"/>
                <w:sz w:val="24"/>
                <w:szCs w:val="24"/>
              </w:rPr>
            </w:pPr>
          </w:p>
        </w:tc>
      </w:tr>
      <w:bookmarkEnd w:id="320"/>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lastRenderedPageBreak/>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lastRenderedPageBreak/>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1" w:name="_Toc429415697"/>
      <w:bookmarkStart w:id="322" w:name="_Toc465861015"/>
      <w:bookmarkStart w:id="323" w:name="_Toc468348861"/>
      <w:r w:rsidRPr="000E39DF">
        <w:rPr>
          <w:rFonts w:eastAsia="Times New Roman" w:cs="Times New Roman"/>
          <w:bCs/>
          <w:lang w:eastAsia="ar-SA"/>
        </w:rPr>
        <w:t xml:space="preserve">Статья 31. </w:t>
      </w:r>
      <w:bookmarkEnd w:id="321"/>
      <w:bookmarkEnd w:id="322"/>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3"/>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 xml:space="preserve">Предельные параметры разрешенного строительства, </w:t>
            </w:r>
            <w:r w:rsidRPr="007709D8">
              <w:rPr>
                <w:rFonts w:ascii="Times New Roman" w:hAnsi="Times New Roman"/>
                <w:b/>
                <w:sz w:val="24"/>
                <w:szCs w:val="24"/>
              </w:rPr>
              <w:lastRenderedPageBreak/>
              <w:t>реконструкции объектов капитального строительства</w:t>
            </w:r>
          </w:p>
        </w:tc>
      </w:tr>
      <w:tr w:rsidR="003D2A80" w:rsidRPr="007709D8" w:rsidTr="0080030C">
        <w:trPr>
          <w:trHeight w:val="3708"/>
        </w:trPr>
        <w:tc>
          <w:tcPr>
            <w:tcW w:w="3000" w:type="dxa"/>
          </w:tcPr>
          <w:p w:rsidR="003D2A80" w:rsidRPr="007709D8" w:rsidRDefault="003D2A80"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lastRenderedPageBreak/>
              <w:t>Животноводство (1.7);</w:t>
            </w:r>
          </w:p>
        </w:tc>
        <w:tc>
          <w:tcPr>
            <w:tcW w:w="6209" w:type="dxa"/>
          </w:tcPr>
          <w:p w:rsidR="003D2A80" w:rsidRPr="007709D8" w:rsidRDefault="003D2A80"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3D2A80" w:rsidRPr="007709D8" w:rsidRDefault="003D2A80"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3D2A80" w:rsidRPr="007709D8" w:rsidRDefault="003D2A80"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3D2A80" w:rsidRPr="007709D8" w:rsidRDefault="003D2A80"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3D2A80" w:rsidRPr="007709D8" w:rsidRDefault="003D2A80"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3D2A80" w:rsidRPr="007709D8" w:rsidRDefault="003D2A80"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3D2A80" w:rsidRPr="007709D8" w:rsidRDefault="003D2A80"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3D2A80" w:rsidRDefault="003D2A80" w:rsidP="003D2A80">
            <w:pPr>
              <w:suppressAutoHyphens/>
              <w:spacing w:line="240" w:lineRule="auto"/>
              <w:jc w:val="both"/>
              <w:rPr>
                <w:rFonts w:ascii="Times New Roman" w:hAnsi="Times New Roman"/>
                <w:color w:val="70AD47" w:themeColor="accent6"/>
                <w:sz w:val="24"/>
                <w:szCs w:val="24"/>
              </w:rPr>
            </w:pPr>
            <w:r w:rsidRPr="003D2A80">
              <w:rPr>
                <w:rFonts w:ascii="Times New Roman" w:hAnsi="Times New Roman"/>
                <w:color w:val="70AD47" w:themeColor="accent6"/>
                <w:sz w:val="24"/>
                <w:szCs w:val="24"/>
              </w:rPr>
              <w:t>Хранение и переработка сельскохозяйственной продукции (1.15)</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4" w:name="_Toc410315220"/>
      <w:bookmarkStart w:id="325" w:name="_Toc424120779"/>
      <w:bookmarkStart w:id="326" w:name="_Toc429415698"/>
      <w:bookmarkStart w:id="327" w:name="_Toc465861016"/>
      <w:bookmarkStart w:id="328" w:name="_Toc468348862"/>
      <w:r w:rsidRPr="000E39DF">
        <w:rPr>
          <w:rFonts w:eastAsia="Times New Roman" w:cs="Times New Roman"/>
          <w:bCs/>
          <w:lang w:eastAsia="ar-SA"/>
        </w:rPr>
        <w:t xml:space="preserve">Статья 32. </w:t>
      </w:r>
      <w:bookmarkEnd w:id="324"/>
      <w:bookmarkEnd w:id="325"/>
      <w:bookmarkEnd w:id="326"/>
      <w:r w:rsidRPr="000E39DF">
        <w:rPr>
          <w:rFonts w:eastAsia="Times New Roman" w:cs="Times New Roman"/>
          <w:bCs/>
          <w:lang w:eastAsia="ar-SA"/>
        </w:rPr>
        <w:t>Градостроительные регламенты на территориях зон специального назначения</w:t>
      </w:r>
      <w:bookmarkEnd w:id="327"/>
      <w:bookmarkEnd w:id="328"/>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lastRenderedPageBreak/>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9" w:name="_Toc429415699"/>
      <w:bookmarkStart w:id="330" w:name="_Toc465861017"/>
      <w:bookmarkStart w:id="331" w:name="_Toc468348863"/>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9"/>
      <w:bookmarkEnd w:id="330"/>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1"/>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 xml:space="preserve">Санаторная </w:t>
            </w:r>
            <w:r w:rsidRPr="00A06375">
              <w:rPr>
                <w:rFonts w:ascii="Times New Roman" w:eastAsia="Times New Roman" w:hAnsi="Times New Roman"/>
                <w:sz w:val="24"/>
                <w:szCs w:val="24"/>
                <w:lang w:eastAsia="ru-RU"/>
              </w:rPr>
              <w:lastRenderedPageBreak/>
              <w:t>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Иные показатели - вместимость – до 300 машиномест.</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r w:rsidRPr="00A06375">
        <w:t>Благоустройствотерритории;</w:t>
      </w:r>
    </w:p>
    <w:p w:rsidR="00A06375" w:rsidRPr="00A06375" w:rsidRDefault="00A06375" w:rsidP="00A06375">
      <w:pPr>
        <w:pStyle w:val="a9"/>
        <w:numPr>
          <w:ilvl w:val="0"/>
          <w:numId w:val="1"/>
        </w:numPr>
        <w:ind w:left="709"/>
      </w:pPr>
      <w:r w:rsidRPr="00A06375">
        <w:t>Малыеархитектурныеформы.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2" w:name="_Toc468348864"/>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2"/>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48865"/>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48866"/>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водоохранных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lastRenderedPageBreak/>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r w:rsidRPr="000E39DF">
        <w:rPr>
          <w:b/>
        </w:rPr>
        <w:t>Видызапрещенногоиспользования</w:t>
      </w:r>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r w:rsidRPr="000E39DF">
        <w:rPr>
          <w:b/>
        </w:rPr>
        <w:t>Видызапрещенногоиспользования</w:t>
      </w:r>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r w:rsidRPr="000E39DF">
        <w:rPr>
          <w:b/>
        </w:rPr>
        <w:t>Основныевидыразрешенногоиспользования</w:t>
      </w:r>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водоохранного режима.</w:t>
      </w:r>
    </w:p>
    <w:p w:rsidR="00410556" w:rsidRPr="000E39DF" w:rsidRDefault="00410556" w:rsidP="00410556">
      <w:pPr>
        <w:pStyle w:val="a9"/>
        <w:rPr>
          <w:b/>
        </w:rPr>
      </w:pPr>
      <w:bookmarkStart w:id="347" w:name="_Toc312100858"/>
      <w:r w:rsidRPr="000E39DF">
        <w:rPr>
          <w:b/>
        </w:rPr>
        <w:t>Условноразрешенныевидыиспользования</w:t>
      </w:r>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После утверждения в установленном порядке проекта водоохранных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48867"/>
      <w:r w:rsidRPr="000E39DF">
        <w:rPr>
          <w:rFonts w:eastAsia="Times New Roman" w:cs="Times New Roman"/>
          <w:bCs/>
          <w:lang w:eastAsia="ar-SA"/>
        </w:rPr>
        <w:lastRenderedPageBreak/>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Наличия положительного заключения государственных органов санитарно-эпидемиологического надзора (ТУ Роспотребнадзора).</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48868"/>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47133C" w:rsidRPr="0047133C">
        <w:rPr>
          <w:rFonts w:ascii="Times New Roman" w:hAnsi="Times New Roman" w:cs="Times New Roman"/>
          <w:b/>
          <w:bCs/>
          <w:caps/>
          <w:color w:val="auto"/>
          <w:sz w:val="24"/>
          <w:szCs w:val="24"/>
          <w:lang w:eastAsia="ru-RU"/>
        </w:rPr>
        <w:t>Брыковского</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48869"/>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47133C" w:rsidRPr="0047133C">
        <w:rPr>
          <w:rFonts w:ascii="Times New Roman" w:eastAsia="Times New Roman" w:hAnsi="Times New Roman" w:cs="Times New Roman"/>
          <w:b/>
          <w:bCs/>
          <w:i/>
          <w:iCs/>
          <w:color w:val="auto"/>
          <w:sz w:val="24"/>
          <w:szCs w:val="24"/>
          <w:lang w:eastAsia="ar-SA"/>
        </w:rPr>
        <w:t>Брыковского</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48870"/>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47133C">
        <w:t>Брыковского</w:t>
      </w:r>
      <w:r w:rsidR="000E39DF" w:rsidRPr="000E39DF">
        <w:rPr>
          <w:rFonts w:cs="Times New Roman"/>
        </w:rPr>
        <w:t>муниципального образования</w:t>
      </w:r>
      <w:bookmarkEnd w:id="380"/>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48871"/>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47133C">
        <w:rPr>
          <w:lang w:val="ru-RU"/>
        </w:rPr>
        <w:t>Брыковского</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47133C">
        <w:rPr>
          <w:lang w:val="ru-RU"/>
        </w:rPr>
        <w:t>Брыковского</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48872"/>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0E39DF" w:rsidRPr="000E39DF">
        <w:rPr>
          <w:lang w:val="ru-RU"/>
        </w:rPr>
        <w:t xml:space="preserve">муниципального </w:t>
      </w:r>
      <w:r w:rsidRPr="000E39DF">
        <w:rPr>
          <w:lang w:val="ru-RU"/>
        </w:rPr>
        <w:t>района</w:t>
      </w:r>
      <w:r w:rsidR="0047133C">
        <w:rPr>
          <w:lang w:val="ru-RU"/>
        </w:rPr>
        <w:t>Брыковского</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48873"/>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48874"/>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47133C">
        <w:rPr>
          <w:lang w:val="ru-RU"/>
        </w:rPr>
        <w:t>Брыковского</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48875"/>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w:t>
      </w:r>
      <w:r w:rsidRPr="000E39DF">
        <w:rPr>
          <w:lang w:val="ru-RU"/>
        </w:rPr>
        <w:lastRenderedPageBreak/>
        <w:t>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Техническиеусловияподготавливаются: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lastRenderedPageBreak/>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48876"/>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lastRenderedPageBreak/>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48877"/>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47133C">
        <w:rPr>
          <w:lang w:val="ru-RU"/>
        </w:rPr>
        <w:t>Брыковского</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E39DF">
        <w:rPr>
          <w:lang w:val="ru-RU"/>
        </w:rPr>
        <w:lastRenderedPageBreak/>
        <w:t>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lastRenderedPageBreak/>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48878"/>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48879"/>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lastRenderedPageBreak/>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w:t>
      </w:r>
      <w:r w:rsidRPr="000E39DF">
        <w:rPr>
          <w:lang w:val="ru-RU"/>
        </w:rPr>
        <w:lastRenderedPageBreak/>
        <w:t xml:space="preserve">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47133C">
        <w:rPr>
          <w:lang w:val="ru-RU"/>
        </w:rPr>
        <w:t>Брыковского</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w:t>
      </w:r>
      <w:r w:rsidRPr="000E39DF">
        <w:rPr>
          <w:lang w:val="ru-RU"/>
        </w:rPr>
        <w:lastRenderedPageBreak/>
        <w:t>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0E39DF">
        <w:rPr>
          <w:lang w:val="ru-RU"/>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48880"/>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48881"/>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48882"/>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w:t>
      </w:r>
      <w:r w:rsidRPr="000E39DF">
        <w:rPr>
          <w:lang w:val="ru-RU"/>
        </w:rPr>
        <w:lastRenderedPageBreak/>
        <w:t>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48883"/>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48884"/>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lastRenderedPageBreak/>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r w:rsidRPr="000E39DF">
              <w:rPr>
                <w:rFonts w:ascii="Times New Roman" w:hAnsi="Times New Roman" w:cs="Times New Roman"/>
                <w:color w:val="000000" w:themeColor="text1"/>
                <w:sz w:val="18"/>
                <w:szCs w:val="18"/>
              </w:rPr>
              <w:t>Среднеэтажная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lastRenderedPageBreak/>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lastRenderedPageBreak/>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r w:rsidRPr="000E39DF">
              <w:rPr>
                <w:rFonts w:ascii="Times New Roman" w:hAnsi="Times New Roman" w:cs="Times New Roman"/>
                <w:color w:val="000000" w:themeColor="text1"/>
                <w:sz w:val="18"/>
                <w:szCs w:val="18"/>
              </w:rPr>
              <w:t>Выставочно-ярмарочная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lastRenderedPageBreak/>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lastRenderedPageBreak/>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166" w:rsidRDefault="00956166" w:rsidP="001A2C4E">
      <w:pPr>
        <w:spacing w:line="240" w:lineRule="auto"/>
      </w:pPr>
      <w:r>
        <w:separator/>
      </w:r>
    </w:p>
  </w:endnote>
  <w:endnote w:type="continuationSeparator" w:id="1">
    <w:p w:rsidR="00956166" w:rsidRDefault="00956166"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61054"/>
      <w:docPartObj>
        <w:docPartGallery w:val="Page Numbers (Bottom of Page)"/>
        <w:docPartUnique/>
      </w:docPartObj>
    </w:sdtPr>
    <w:sdtEndPr>
      <w:rPr>
        <w:rFonts w:ascii="Times New Roman" w:hAnsi="Times New Roman"/>
      </w:rPr>
    </w:sdtEndPr>
    <w:sdtContent>
      <w:p w:rsidR="004E2EE4" w:rsidRDefault="004E2EE4" w:rsidP="00510221">
        <w:pPr>
          <w:pStyle w:val="a3"/>
          <w:jc w:val="both"/>
        </w:pPr>
        <w:r>
          <w:t>_____________________________________________________________________________________</w:t>
        </w:r>
      </w:p>
      <w:p w:rsidR="004E2EE4" w:rsidRPr="00551E0C" w:rsidRDefault="004E2EE4"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001C51A3" w:rsidRPr="00551E0C">
          <w:rPr>
            <w:rFonts w:ascii="Times New Roman" w:hAnsi="Times New Roman"/>
          </w:rPr>
          <w:fldChar w:fldCharType="begin"/>
        </w:r>
        <w:r w:rsidRPr="00551E0C">
          <w:rPr>
            <w:rFonts w:ascii="Times New Roman" w:hAnsi="Times New Roman"/>
          </w:rPr>
          <w:instrText>PAGE   \* MERGEFORMAT</w:instrText>
        </w:r>
        <w:r w:rsidR="001C51A3" w:rsidRPr="00551E0C">
          <w:rPr>
            <w:rFonts w:ascii="Times New Roman" w:hAnsi="Times New Roman"/>
          </w:rPr>
          <w:fldChar w:fldCharType="separate"/>
        </w:r>
        <w:r w:rsidR="00DB21E7">
          <w:rPr>
            <w:rFonts w:ascii="Times New Roman" w:hAnsi="Times New Roman"/>
            <w:noProof/>
          </w:rPr>
          <w:t>3</w:t>
        </w:r>
        <w:r w:rsidR="001C51A3" w:rsidRPr="00551E0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166" w:rsidRDefault="00956166" w:rsidP="001A2C4E">
      <w:pPr>
        <w:spacing w:line="240" w:lineRule="auto"/>
      </w:pPr>
      <w:r>
        <w:separator/>
      </w:r>
    </w:p>
  </w:footnote>
  <w:footnote w:type="continuationSeparator" w:id="1">
    <w:p w:rsidR="00956166" w:rsidRDefault="00956166" w:rsidP="001A2C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E4" w:rsidRPr="00885997" w:rsidRDefault="004E2EE4"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 xml:space="preserve">Правила землепользования и </w:t>
    </w:r>
    <w:r w:rsidR="0047133C">
      <w:rPr>
        <w:rFonts w:ascii="Times New Roman" w:hAnsi="Times New Roman"/>
        <w:color w:val="262626" w:themeColor="text1" w:themeTint="D9"/>
        <w:sz w:val="20"/>
        <w:szCs w:val="20"/>
      </w:rPr>
      <w:t>застройки Брыковского</w:t>
    </w:r>
    <w:r>
      <w:rPr>
        <w:rFonts w:ascii="Times New Roman" w:hAnsi="Times New Roman"/>
        <w:color w:val="262626" w:themeColor="text1" w:themeTint="D9"/>
        <w:sz w:val="20"/>
        <w:szCs w:val="20"/>
      </w:rPr>
      <w:t xml:space="preserve"> муниципального образования</w:t>
    </w:r>
  </w:p>
  <w:p w:rsidR="004E2EE4" w:rsidRPr="003B02B8" w:rsidRDefault="004E2EE4"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4E2EE4" w:rsidRDefault="004E2E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E4" w:rsidRDefault="004E2EE4">
    <w:pPr>
      <w:pStyle w:val="a5"/>
    </w:pPr>
  </w:p>
  <w:p w:rsidR="004E2EE4" w:rsidRDefault="004E2E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A2C4E"/>
    <w:rsid w:val="00013DD5"/>
    <w:rsid w:val="0007554E"/>
    <w:rsid w:val="00075CA3"/>
    <w:rsid w:val="000974B9"/>
    <w:rsid w:val="000E39DF"/>
    <w:rsid w:val="000F52CB"/>
    <w:rsid w:val="000F5830"/>
    <w:rsid w:val="00111BC9"/>
    <w:rsid w:val="001559B4"/>
    <w:rsid w:val="00167939"/>
    <w:rsid w:val="001954F9"/>
    <w:rsid w:val="001A2C4E"/>
    <w:rsid w:val="001C51A3"/>
    <w:rsid w:val="001E2077"/>
    <w:rsid w:val="001F6968"/>
    <w:rsid w:val="00222E11"/>
    <w:rsid w:val="00227D56"/>
    <w:rsid w:val="002667CD"/>
    <w:rsid w:val="00280C09"/>
    <w:rsid w:val="0028236D"/>
    <w:rsid w:val="002850F0"/>
    <w:rsid w:val="002C418E"/>
    <w:rsid w:val="00332220"/>
    <w:rsid w:val="00342B69"/>
    <w:rsid w:val="00386354"/>
    <w:rsid w:val="003A14CD"/>
    <w:rsid w:val="003D2A80"/>
    <w:rsid w:val="00410556"/>
    <w:rsid w:val="004603F4"/>
    <w:rsid w:val="00460655"/>
    <w:rsid w:val="0047133C"/>
    <w:rsid w:val="004722A3"/>
    <w:rsid w:val="00474225"/>
    <w:rsid w:val="004C6C6D"/>
    <w:rsid w:val="004D476F"/>
    <w:rsid w:val="004E2EE4"/>
    <w:rsid w:val="00500596"/>
    <w:rsid w:val="00510221"/>
    <w:rsid w:val="00514B0A"/>
    <w:rsid w:val="00523C99"/>
    <w:rsid w:val="00535D8C"/>
    <w:rsid w:val="00561351"/>
    <w:rsid w:val="005677AE"/>
    <w:rsid w:val="005A01DA"/>
    <w:rsid w:val="00670B54"/>
    <w:rsid w:val="0068743B"/>
    <w:rsid w:val="006B0621"/>
    <w:rsid w:val="006B1AAE"/>
    <w:rsid w:val="006B1BCD"/>
    <w:rsid w:val="006C43B3"/>
    <w:rsid w:val="006C6D48"/>
    <w:rsid w:val="006D107C"/>
    <w:rsid w:val="006D5C88"/>
    <w:rsid w:val="006D7213"/>
    <w:rsid w:val="00720B30"/>
    <w:rsid w:val="00744100"/>
    <w:rsid w:val="0075339E"/>
    <w:rsid w:val="00754ED0"/>
    <w:rsid w:val="007622CF"/>
    <w:rsid w:val="00763693"/>
    <w:rsid w:val="007709D8"/>
    <w:rsid w:val="007947C5"/>
    <w:rsid w:val="007E5347"/>
    <w:rsid w:val="007E6920"/>
    <w:rsid w:val="008401F5"/>
    <w:rsid w:val="00885997"/>
    <w:rsid w:val="00886964"/>
    <w:rsid w:val="00887267"/>
    <w:rsid w:val="008A0F45"/>
    <w:rsid w:val="008A38FE"/>
    <w:rsid w:val="008A455B"/>
    <w:rsid w:val="008C305F"/>
    <w:rsid w:val="008D2207"/>
    <w:rsid w:val="008F7B78"/>
    <w:rsid w:val="00956166"/>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4BA2"/>
    <w:rsid w:val="00AC568B"/>
    <w:rsid w:val="00AE27C3"/>
    <w:rsid w:val="00B007F0"/>
    <w:rsid w:val="00B00813"/>
    <w:rsid w:val="00B366AC"/>
    <w:rsid w:val="00B41822"/>
    <w:rsid w:val="00B44EFF"/>
    <w:rsid w:val="00BC1DA5"/>
    <w:rsid w:val="00BD1797"/>
    <w:rsid w:val="00C35256"/>
    <w:rsid w:val="00C43019"/>
    <w:rsid w:val="00C56657"/>
    <w:rsid w:val="00C80D28"/>
    <w:rsid w:val="00CC6F2F"/>
    <w:rsid w:val="00CD4ADF"/>
    <w:rsid w:val="00D3466F"/>
    <w:rsid w:val="00D624D2"/>
    <w:rsid w:val="00D80167"/>
    <w:rsid w:val="00DB21E7"/>
    <w:rsid w:val="00DD5E90"/>
    <w:rsid w:val="00DE54EE"/>
    <w:rsid w:val="00E214F3"/>
    <w:rsid w:val="00E21C36"/>
    <w:rsid w:val="00E9440E"/>
    <w:rsid w:val="00EB7286"/>
    <w:rsid w:val="00EC5910"/>
    <w:rsid w:val="00FC5FEE"/>
    <w:rsid w:val="00FE66B3"/>
    <w:rsid w:val="00FF0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AEC9-8A14-4E78-94B5-A5CC8C87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85</Pages>
  <Words>36242</Words>
  <Characters>206580</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кадры</cp:lastModifiedBy>
  <cp:revision>9</cp:revision>
  <dcterms:created xsi:type="dcterms:W3CDTF">2016-12-01T06:37:00Z</dcterms:created>
  <dcterms:modified xsi:type="dcterms:W3CDTF">2020-01-17T11:16:00Z</dcterms:modified>
</cp:coreProperties>
</file>